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cs="Times New Roman"/>
          <w:color w:val="000000" w:themeColor="text1"/>
          <w:sz w:val="32"/>
          <w:szCs w:val="32"/>
        </w:rPr>
      </w:pPr>
      <w:bookmarkStart w:id="0" w:name="_GoBack"/>
      <w:bookmarkEnd w:id="0"/>
      <w:r>
        <w:rPr>
          <w:rFonts w:ascii="Times New Roman" w:hAnsi="Times New Roman" w:eastAsia="黑体" w:cs="Times New Roman"/>
          <w:color w:val="000000" w:themeColor="text1"/>
          <w:sz w:val="32"/>
          <w:szCs w:val="32"/>
        </w:rPr>
        <w:t>附件3</w:t>
      </w:r>
    </w:p>
    <w:p>
      <w:pPr>
        <w:spacing w:line="580" w:lineRule="exact"/>
        <w:rPr>
          <w:rFonts w:ascii="Times New Roman" w:hAnsi="Times New Roman" w:eastAsia="黑体" w:cs="Times New Roman"/>
          <w:color w:val="000000" w:themeColor="text1"/>
          <w:sz w:val="32"/>
          <w:szCs w:val="32"/>
        </w:rPr>
      </w:pPr>
    </w:p>
    <w:p>
      <w:pPr>
        <w:spacing w:afterLines="50" w:line="580" w:lineRule="exact"/>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电力质监机构工作情况考核表</w:t>
      </w:r>
    </w:p>
    <w:tbl>
      <w:tblPr>
        <w:tblStyle w:val="9"/>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134"/>
        <w:gridCol w:w="1134"/>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9" w:type="dxa"/>
            <w:vAlign w:val="center"/>
          </w:tcPr>
          <w:p>
            <w:pPr>
              <w:tabs>
                <w:tab w:val="left" w:pos="885"/>
              </w:tabs>
              <w:spacing w:line="100" w:lineRule="atLeast"/>
              <w:jc w:val="center"/>
              <w:rPr>
                <w:rFonts w:ascii="Times New Roman" w:hAnsi="Times New Roman" w:eastAsia="黑体" w:cs="Times New Roman"/>
                <w:color w:val="000000" w:themeColor="text1"/>
                <w:szCs w:val="21"/>
              </w:rPr>
            </w:pPr>
            <w:r>
              <w:rPr>
                <w:rFonts w:ascii="Times New Roman" w:hAnsi="Times New Roman" w:eastAsia="黑体" w:cs="Times New Roman"/>
                <w:color w:val="000000" w:themeColor="text1"/>
                <w:szCs w:val="21"/>
              </w:rPr>
              <w:t>序号</w:t>
            </w:r>
          </w:p>
        </w:tc>
        <w:tc>
          <w:tcPr>
            <w:tcW w:w="1134" w:type="dxa"/>
            <w:vAlign w:val="center"/>
          </w:tcPr>
          <w:p>
            <w:pPr>
              <w:tabs>
                <w:tab w:val="left" w:pos="885"/>
              </w:tabs>
              <w:spacing w:line="100" w:lineRule="atLeast"/>
              <w:jc w:val="center"/>
              <w:rPr>
                <w:rFonts w:ascii="Times New Roman" w:hAnsi="Times New Roman" w:eastAsia="黑体" w:cs="Times New Roman"/>
                <w:color w:val="000000" w:themeColor="text1"/>
                <w:szCs w:val="21"/>
              </w:rPr>
            </w:pPr>
            <w:r>
              <w:rPr>
                <w:rFonts w:ascii="Times New Roman" w:hAnsi="Times New Roman" w:eastAsia="黑体" w:cs="Times New Roman"/>
                <w:color w:val="000000" w:themeColor="text1"/>
                <w:szCs w:val="21"/>
              </w:rPr>
              <w:t>考核内容</w:t>
            </w:r>
          </w:p>
        </w:tc>
        <w:tc>
          <w:tcPr>
            <w:tcW w:w="1134" w:type="dxa"/>
            <w:vAlign w:val="center"/>
          </w:tcPr>
          <w:p>
            <w:pPr>
              <w:spacing w:line="100" w:lineRule="atLeast"/>
              <w:jc w:val="center"/>
              <w:rPr>
                <w:rFonts w:ascii="Times New Roman" w:hAnsi="Times New Roman" w:eastAsia="黑体" w:cs="Times New Roman"/>
                <w:color w:val="000000" w:themeColor="text1"/>
                <w:szCs w:val="21"/>
              </w:rPr>
            </w:pPr>
            <w:r>
              <w:rPr>
                <w:rFonts w:ascii="Times New Roman" w:hAnsi="Times New Roman" w:eastAsia="黑体" w:cs="Times New Roman"/>
                <w:color w:val="000000" w:themeColor="text1"/>
                <w:szCs w:val="21"/>
              </w:rPr>
              <w:t>标准分值</w:t>
            </w:r>
          </w:p>
        </w:tc>
        <w:tc>
          <w:tcPr>
            <w:tcW w:w="5908" w:type="dxa"/>
            <w:vAlign w:val="center"/>
          </w:tcPr>
          <w:p>
            <w:pPr>
              <w:spacing w:line="100" w:lineRule="atLeast"/>
              <w:jc w:val="center"/>
              <w:rPr>
                <w:rFonts w:ascii="Times New Roman" w:hAnsi="Times New Roman" w:eastAsia="黑体" w:cs="Times New Roman"/>
                <w:color w:val="000000" w:themeColor="text1"/>
                <w:szCs w:val="21"/>
              </w:rPr>
            </w:pPr>
            <w:r>
              <w:rPr>
                <w:rFonts w:ascii="Times New Roman" w:hAnsi="Times New Roman" w:eastAsia="黑体" w:cs="Times New Roman"/>
                <w:color w:val="000000" w:themeColor="text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8" w:hRule="atLeast"/>
          <w:jc w:val="center"/>
        </w:trPr>
        <w:tc>
          <w:tcPr>
            <w:tcW w:w="749" w:type="dxa"/>
            <w:vAlign w:val="center"/>
          </w:tcPr>
          <w:p>
            <w:pPr>
              <w:tabs>
                <w:tab w:val="left" w:pos="885"/>
              </w:tabs>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1</w:t>
            </w:r>
          </w:p>
        </w:tc>
        <w:tc>
          <w:tcPr>
            <w:tcW w:w="1134" w:type="dxa"/>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质量监督注册情况</w:t>
            </w:r>
          </w:p>
        </w:tc>
        <w:tc>
          <w:tcPr>
            <w:tcW w:w="1134" w:type="dxa"/>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10</w:t>
            </w:r>
          </w:p>
        </w:tc>
        <w:tc>
          <w:tcPr>
            <w:tcW w:w="5908" w:type="dxa"/>
            <w:vAlign w:val="center"/>
          </w:tcPr>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1.质量监督注册申报表审核不严，注册申报资料存在错漏项，每个扣1分；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2.对符合规定条件的申请，未在7个工作日内出具注册证书，每个扣1分；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3.对不符合要求的工程，未在5个工作日内一次性告知建设单位，每个扣1分；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4.未按要求制定质量监督检查计划书或制定的计划书不合理，每个扣1分；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5.拒绝为符合要求的电力建设工程办理质量监督注册手续，扣10分。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3" w:hRule="atLeast"/>
          <w:jc w:val="center"/>
        </w:trPr>
        <w:tc>
          <w:tcPr>
            <w:tcW w:w="749" w:type="dxa"/>
            <w:vAlign w:val="center"/>
          </w:tcPr>
          <w:p>
            <w:pPr>
              <w:tabs>
                <w:tab w:val="left" w:pos="885"/>
              </w:tabs>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2</w:t>
            </w:r>
          </w:p>
        </w:tc>
        <w:tc>
          <w:tcPr>
            <w:tcW w:w="1134" w:type="dxa"/>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质量监督程序执行情况</w:t>
            </w:r>
          </w:p>
        </w:tc>
        <w:tc>
          <w:tcPr>
            <w:tcW w:w="1134" w:type="dxa"/>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35</w:t>
            </w:r>
          </w:p>
        </w:tc>
        <w:tc>
          <w:tcPr>
            <w:tcW w:w="5908" w:type="dxa"/>
            <w:vAlign w:val="center"/>
          </w:tcPr>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1.应实施质量监督的规模以下电力建设工程，已开展抽查，但不符合相关规定，每次扣1分，最多不超过10分；未制定监督检查计划或制定监督检查计划但未按计划开展抽查扣10分；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2.受理阶段性监督、专项监督检查申请后，未按要求发放检查通知，每次扣1分，最多不超过5分；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3.违反规定缩减或合并监督检查阶段，每次扣1分，最多不超过5分；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4.存在工程参建人员作为质量监督组成员参加参建工程质量监督的情况，每次扣5分，最多不超过20分；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5.未按规定出具整改意见书，每次扣1分，最多不超过10分；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6.对于建设单位对整改意见书有异议并提出复查申请的，未按要求组织复查，每次扣3分，最多不超过9分；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7.对于建设单位未按整改意见书要求完成整改或整改回复单不符合规定的，未履行督促义务，每次扣1分，最多不超过10分；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8.未按规定要求出具并网意见书，每个扣2分，最多不超过10分；</w:t>
            </w:r>
          </w:p>
          <w:p>
            <w:pPr>
              <w:numPr>
                <w:ilvl w:val="255"/>
                <w:numId w:val="0"/>
              </w:numPr>
              <w:spacing w:line="100" w:lineRule="atLeast"/>
              <w:ind w:left="210" w:hanging="210" w:hangingChars="100"/>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szCs w:val="21"/>
              </w:rPr>
              <w:t>9.未按规定出具、报送质量监督报告，每个扣2分，最多不超过10分。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749" w:type="dxa"/>
            <w:vAlign w:val="center"/>
          </w:tcPr>
          <w:p>
            <w:pPr>
              <w:tabs>
                <w:tab w:val="left" w:pos="885"/>
              </w:tabs>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3</w:t>
            </w:r>
          </w:p>
        </w:tc>
        <w:tc>
          <w:tcPr>
            <w:tcW w:w="1134" w:type="dxa"/>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质量监督廉洁制度执行情况</w:t>
            </w:r>
          </w:p>
        </w:tc>
        <w:tc>
          <w:tcPr>
            <w:tcW w:w="1134" w:type="dxa"/>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10</w:t>
            </w:r>
          </w:p>
        </w:tc>
        <w:tc>
          <w:tcPr>
            <w:tcW w:w="5908" w:type="dxa"/>
            <w:vAlign w:val="center"/>
          </w:tcPr>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1.未进行廉洁自律交底、告知或反馈，每次扣1分；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2.对于建设单位未落实廉洁质量监督书面回访要求的，未履行督促义务，每次扣2分；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3.存在违反廉洁纪律等问题的，扣10分。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749" w:type="dxa"/>
            <w:vAlign w:val="center"/>
          </w:tcPr>
          <w:p>
            <w:pPr>
              <w:tabs>
                <w:tab w:val="left" w:pos="885"/>
              </w:tabs>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4</w:t>
            </w:r>
          </w:p>
        </w:tc>
        <w:tc>
          <w:tcPr>
            <w:tcW w:w="1134" w:type="dxa"/>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质量监督专业人员管理情况</w:t>
            </w:r>
          </w:p>
        </w:tc>
        <w:tc>
          <w:tcPr>
            <w:tcW w:w="1134" w:type="dxa"/>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10</w:t>
            </w:r>
          </w:p>
        </w:tc>
        <w:tc>
          <w:tcPr>
            <w:tcW w:w="5908" w:type="dxa"/>
            <w:vAlign w:val="center"/>
          </w:tcPr>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1.审核不严，导致不符合条件或职业资格、专业职称等证明文件不全的人员通过能力确认，每人次扣1分，最多不超过5分；未开展人员能力确认，扣5分；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2.审核不严，导致不符合要求的人员通过年度考核，每人次扣1分，最多不超过5分；未开展人员年度考核，扣5分；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3.因自身问题，未能按规定时间节点完成能力确认，扣2 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4.因自身问题，未能按规定时间节点完成年度考核，扣2分。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749" w:type="dxa"/>
            <w:vAlign w:val="center"/>
          </w:tcPr>
          <w:p>
            <w:pPr>
              <w:tabs>
                <w:tab w:val="left" w:pos="885"/>
              </w:tabs>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5</w:t>
            </w:r>
          </w:p>
        </w:tc>
        <w:tc>
          <w:tcPr>
            <w:tcW w:w="1134" w:type="dxa"/>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质量监督工作信息管理情况</w:t>
            </w:r>
          </w:p>
        </w:tc>
        <w:tc>
          <w:tcPr>
            <w:tcW w:w="1134" w:type="dxa"/>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10</w:t>
            </w:r>
          </w:p>
        </w:tc>
        <w:tc>
          <w:tcPr>
            <w:tcW w:w="5908" w:type="dxa"/>
            <w:vAlign w:val="center"/>
          </w:tcPr>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1.未按有关要求报送月、季、年度工作信息，每次扣2分；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2.在使用电力质监信息系统报送工程质量监督过程信息时，存在信息漏报、错报行为，每次扣2分；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3.电力质监机构负责人调整时，未按要求将任职文件抄报相关单位，每次扣2分；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4.发现存在涉及结构安全和使用功能的严重质量缺陷、工程质量管理失控等重大质量问题后，存在瞒报、迟报、漏报等行为，扣10分。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749" w:type="dxa"/>
            <w:vAlign w:val="center"/>
          </w:tcPr>
          <w:p>
            <w:pPr>
              <w:tabs>
                <w:tab w:val="left" w:pos="885"/>
              </w:tabs>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6</w:t>
            </w:r>
          </w:p>
        </w:tc>
        <w:tc>
          <w:tcPr>
            <w:tcW w:w="1134" w:type="dxa"/>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质量监督档案管理情况</w:t>
            </w:r>
          </w:p>
        </w:tc>
        <w:tc>
          <w:tcPr>
            <w:tcW w:w="1134" w:type="dxa"/>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10</w:t>
            </w:r>
          </w:p>
        </w:tc>
        <w:tc>
          <w:tcPr>
            <w:tcW w:w="5908" w:type="dxa"/>
            <w:vAlign w:val="center"/>
          </w:tcPr>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1.注册申报表、建设单位信用承诺书、注册证书、整改意见书、暂停施工通知、整改回复单、并网意见书等过程资料不完整或未留存纸质文件的，每次扣1分，最多不超过5分；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2.已完工程质量监督档案（含电子档案）未及时整理归档或档案内容不完整的，每个扣2分，最多不超过6分。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749" w:type="dxa"/>
            <w:vMerge w:val="restart"/>
            <w:vAlign w:val="center"/>
          </w:tcPr>
          <w:p>
            <w:pPr>
              <w:tabs>
                <w:tab w:val="left" w:pos="885"/>
              </w:tabs>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7</w:t>
            </w:r>
          </w:p>
        </w:tc>
        <w:tc>
          <w:tcPr>
            <w:tcW w:w="1134" w:type="dxa"/>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分支机构管理情况</w:t>
            </w:r>
          </w:p>
        </w:tc>
        <w:tc>
          <w:tcPr>
            <w:tcW w:w="1134" w:type="dxa"/>
            <w:vMerge w:val="restart"/>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10</w:t>
            </w:r>
          </w:p>
        </w:tc>
        <w:tc>
          <w:tcPr>
            <w:tcW w:w="5908" w:type="dxa"/>
            <w:vAlign w:val="center"/>
          </w:tcPr>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1.分支机构未按质监大纲和相关规定开展质量监督工作，每次扣1分；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2.未按要求对分支机构进行考核，扣5分；</w:t>
            </w:r>
          </w:p>
          <w:p>
            <w:p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3.新设立或撤销分支机构未按要求商有关单位，扣10分。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749" w:type="dxa"/>
            <w:vMerge w:val="continue"/>
            <w:vAlign w:val="center"/>
          </w:tcPr>
          <w:p>
            <w:pPr>
              <w:tabs>
                <w:tab w:val="left" w:pos="885"/>
              </w:tabs>
              <w:spacing w:line="100" w:lineRule="atLeast"/>
              <w:jc w:val="center"/>
              <w:rPr>
                <w:rFonts w:ascii="Times New Roman" w:hAnsi="Times New Roman" w:eastAsia="仿宋_GB2312" w:cs="Times New Roman"/>
                <w:color w:val="000000" w:themeColor="text1"/>
                <w:szCs w:val="21"/>
              </w:rPr>
            </w:pPr>
          </w:p>
        </w:tc>
        <w:tc>
          <w:tcPr>
            <w:tcW w:w="1134" w:type="dxa"/>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对有关电力质监机构的协调管理情况</w:t>
            </w:r>
          </w:p>
        </w:tc>
        <w:tc>
          <w:tcPr>
            <w:tcW w:w="1134" w:type="dxa"/>
            <w:vMerge w:val="continue"/>
            <w:vAlign w:val="center"/>
          </w:tcPr>
          <w:p>
            <w:pPr>
              <w:spacing w:line="100" w:lineRule="atLeast"/>
              <w:jc w:val="center"/>
              <w:rPr>
                <w:rFonts w:ascii="Times New Roman" w:hAnsi="Times New Roman" w:eastAsia="仿宋_GB2312" w:cs="Times New Roman"/>
                <w:color w:val="000000" w:themeColor="text1"/>
                <w:szCs w:val="21"/>
              </w:rPr>
            </w:pPr>
          </w:p>
        </w:tc>
        <w:tc>
          <w:tcPr>
            <w:tcW w:w="5908" w:type="dxa"/>
            <w:vAlign w:val="center"/>
          </w:tcPr>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1.考核周期内，负责协调管理的省级电力质监机构中，考核结果为合格等次，每个扣1分，最多不超过5分；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2.考核周期内，负责协调管理的省级电力质监机构中，有考核结果为不合格等次的，每个扣2分，最多不超过10分。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749" w:type="dxa"/>
            <w:vAlign w:val="center"/>
          </w:tcPr>
          <w:p>
            <w:pPr>
              <w:tabs>
                <w:tab w:val="left" w:pos="885"/>
              </w:tabs>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8</w:t>
            </w:r>
          </w:p>
        </w:tc>
        <w:tc>
          <w:tcPr>
            <w:tcW w:w="1134" w:type="dxa"/>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其他质量监督相关工作完成情况</w:t>
            </w:r>
          </w:p>
        </w:tc>
        <w:tc>
          <w:tcPr>
            <w:tcW w:w="1134" w:type="dxa"/>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5</w:t>
            </w:r>
          </w:p>
        </w:tc>
        <w:tc>
          <w:tcPr>
            <w:tcW w:w="5908" w:type="dxa"/>
            <w:vAlign w:val="center"/>
          </w:tcPr>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1.国家能源局委托的其他质量监督相关工作完成情况较差，每项扣2分；</w:t>
            </w:r>
          </w:p>
          <w:p>
            <w:p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2.国家能源局委托的其他质量监督相关工作未完成，扣5分。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9" w:hRule="atLeast"/>
          <w:jc w:val="center"/>
        </w:trPr>
        <w:tc>
          <w:tcPr>
            <w:tcW w:w="749" w:type="dxa"/>
            <w:vAlign w:val="center"/>
          </w:tcPr>
          <w:p>
            <w:pPr>
              <w:tabs>
                <w:tab w:val="left" w:pos="885"/>
              </w:tabs>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9</w:t>
            </w:r>
          </w:p>
        </w:tc>
        <w:tc>
          <w:tcPr>
            <w:tcW w:w="1134" w:type="dxa"/>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加分项</w:t>
            </w:r>
          </w:p>
        </w:tc>
        <w:tc>
          <w:tcPr>
            <w:tcW w:w="1134" w:type="dxa"/>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10</w:t>
            </w:r>
          </w:p>
        </w:tc>
        <w:tc>
          <w:tcPr>
            <w:tcW w:w="5908" w:type="dxa"/>
            <w:vAlign w:val="center"/>
          </w:tcPr>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1.发现重大质量问题（如：存在涉及结构安全和使用功能的严重质量缺陷、工程质量管理失控等）的，每次加1分，最多不超过5分；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2.所监督工程质量获得国家级奖项的，每个加0.5分，最多不超过5分；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3.认真落实电力质监管理工作要求，对基建安全做出突出贡献的，每次加1分，最多不超过5分。</w:t>
            </w:r>
          </w:p>
          <w:p>
            <w:pPr>
              <w:pStyle w:val="3"/>
              <w:spacing w:after="0" w:line="100" w:lineRule="atLeast"/>
              <w:ind w:left="210" w:leftChars="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4.积极撰写质量监督相关新闻稿件，在省部级及以上单位主管的媒体上每刊发一次加1分，在可靠性和质监中心门户网站等每刊发一次加0.5分，最多不超过3分；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5.质量监督相关工作获得省部级机关有关部门（如：国家能源局电力安全监管司、派出机构、可靠性和质监中心等）表扬的，每次加1分，最多不超过5分；</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6.较好完成国家能源局委托的其他质量监督相关工作，每项加1分，最多不超过5分。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749" w:type="dxa"/>
            <w:vAlign w:val="center"/>
          </w:tcPr>
          <w:p>
            <w:pPr>
              <w:tabs>
                <w:tab w:val="left" w:pos="885"/>
              </w:tabs>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10</w:t>
            </w:r>
          </w:p>
        </w:tc>
        <w:tc>
          <w:tcPr>
            <w:tcW w:w="1134" w:type="dxa"/>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否决项</w:t>
            </w:r>
          </w:p>
        </w:tc>
        <w:tc>
          <w:tcPr>
            <w:tcW w:w="1134" w:type="dxa"/>
            <w:vAlign w:val="center"/>
          </w:tcPr>
          <w:p>
            <w:pPr>
              <w:spacing w:line="100" w:lineRule="atLeast"/>
              <w:jc w:val="center"/>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此项不设应得分</w:t>
            </w:r>
          </w:p>
        </w:tc>
        <w:tc>
          <w:tcPr>
            <w:tcW w:w="5908" w:type="dxa"/>
            <w:vAlign w:val="center"/>
          </w:tcPr>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存在下列情形之一的，考核结果直接确定为不合格：</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1.出具虚假工程质量监督文件；</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2.擅自将受委托的质量监督工作转交其他机构实施；</w:t>
            </w:r>
          </w:p>
          <w:p>
            <w:pPr>
              <w:numPr>
                <w:ilvl w:val="255"/>
                <w:numId w:val="0"/>
              </w:numPr>
              <w:spacing w:line="100" w:lineRule="atLeast"/>
              <w:ind w:left="210" w:hanging="210" w:hangingChars="100"/>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3.事故调查报告认定电力质量监督工作存在违法、违规行为，导致发生重大事故或特别重大事故。</w:t>
            </w:r>
          </w:p>
        </w:tc>
      </w:tr>
    </w:tbl>
    <w:p>
      <w:pPr>
        <w:spacing w:line="300" w:lineRule="exact"/>
        <w:rPr>
          <w:rFonts w:ascii="Times New Roman" w:hAnsi="Times New Roman" w:eastAsia="楷体" w:cs="Times New Roman"/>
          <w:color w:val="000000" w:themeColor="text1"/>
          <w:szCs w:val="21"/>
        </w:rPr>
      </w:pPr>
      <w:r>
        <w:rPr>
          <w:rFonts w:ascii="Times New Roman" w:hAnsi="Times New Roman" w:eastAsia="楷体" w:cs="Times New Roman"/>
          <w:color w:val="000000" w:themeColor="text1"/>
          <w:szCs w:val="21"/>
        </w:rPr>
        <w:t>说明：</w:t>
      </w:r>
    </w:p>
    <w:p>
      <w:pPr>
        <w:spacing w:line="300" w:lineRule="exact"/>
        <w:ind w:firstLine="420" w:firstLineChars="200"/>
        <w:rPr>
          <w:rFonts w:ascii="Times New Roman" w:hAnsi="Times New Roman" w:eastAsia="楷体_GB2312" w:cs="Times New Roman"/>
          <w:color w:val="000000" w:themeColor="text1"/>
          <w:szCs w:val="21"/>
        </w:rPr>
      </w:pPr>
      <w:r>
        <w:rPr>
          <w:rFonts w:ascii="Times New Roman" w:hAnsi="Times New Roman" w:eastAsia="楷体_GB2312" w:cs="Times New Roman"/>
          <w:color w:val="000000" w:themeColor="text1"/>
          <w:szCs w:val="21"/>
        </w:rPr>
        <w:t>1.考核周期内，国家能源局电力安全监管司、派出机构、可靠性和质监中心对电力质监机构日常监督指导意见落实情况纳入考核内容，相关问题在对应项中进行评分。</w:t>
      </w:r>
    </w:p>
    <w:p>
      <w:pPr>
        <w:spacing w:line="300" w:lineRule="exact"/>
        <w:ind w:firstLine="420" w:firstLineChars="200"/>
        <w:rPr>
          <w:rFonts w:ascii="Times New Roman" w:hAnsi="Times New Roman" w:eastAsia="楷体_GB2312" w:cs="Times New Roman"/>
          <w:color w:val="000000" w:themeColor="text1"/>
          <w:szCs w:val="21"/>
        </w:rPr>
      </w:pPr>
      <w:r>
        <w:rPr>
          <w:rFonts w:ascii="Times New Roman" w:hAnsi="Times New Roman" w:eastAsia="楷体_GB2312" w:cs="Times New Roman"/>
          <w:color w:val="000000" w:themeColor="text1"/>
          <w:szCs w:val="21"/>
        </w:rPr>
        <w:t>2</w:t>
      </w:r>
      <w:r>
        <w:rPr>
          <w:rFonts w:hint="eastAsia" w:ascii="Times New Roman" w:hAnsi="Times New Roman" w:eastAsia="楷体_GB2312" w:cs="Times New Roman"/>
          <w:color w:val="000000" w:themeColor="text1"/>
          <w:szCs w:val="21"/>
          <w:lang w:val="en-US" w:eastAsia="zh-CN"/>
        </w:rPr>
        <w:t>.</w:t>
      </w:r>
      <w:r>
        <w:rPr>
          <w:rFonts w:ascii="Times New Roman" w:hAnsi="Times New Roman" w:eastAsia="楷体_GB2312" w:cs="Times New Roman"/>
          <w:color w:val="000000" w:themeColor="text1"/>
          <w:szCs w:val="21"/>
        </w:rPr>
        <w:t>随机抽取考核周期内实施质量监督的5个工程（如有规模以下工程，其中需有1个工程从规模以下工程中抽取）进行资料检查。如考核周期内实施质量监督的工程数量不足5个时，抽查全部工程，并按比例调整分值。如考核周期内没有需要实施质量监督的工程，相应考核项不扣分。</w:t>
      </w:r>
    </w:p>
    <w:p>
      <w:pPr>
        <w:spacing w:line="300" w:lineRule="exact"/>
        <w:ind w:firstLine="420" w:firstLineChars="200"/>
        <w:rPr>
          <w:rFonts w:ascii="Times New Roman" w:hAnsi="Times New Roman" w:eastAsia="楷体_GB2312" w:cs="Times New Roman"/>
          <w:color w:val="000000" w:themeColor="text1"/>
          <w:szCs w:val="21"/>
        </w:rPr>
      </w:pPr>
      <w:r>
        <w:rPr>
          <w:rFonts w:ascii="Times New Roman" w:hAnsi="Times New Roman" w:eastAsia="楷体_GB2312" w:cs="Times New Roman"/>
          <w:color w:val="000000" w:themeColor="text1"/>
          <w:szCs w:val="21"/>
        </w:rPr>
        <w:t>3.“分支机构管理情况”和“对有关电力质监机构的协调管理情况”，根据实际情况进行评分。不存在上述情况的，不扣分。</w:t>
      </w:r>
    </w:p>
    <w:p>
      <w:pPr>
        <w:spacing w:line="300" w:lineRule="exact"/>
        <w:ind w:firstLine="420" w:firstLineChars="200"/>
        <w:rPr>
          <w:rFonts w:ascii="Times New Roman" w:hAnsi="Times New Roman" w:eastAsia="楷体_GB2312" w:cs="Times New Roman"/>
          <w:color w:val="000000" w:themeColor="text1"/>
          <w:szCs w:val="21"/>
        </w:rPr>
      </w:pPr>
      <w:r>
        <w:rPr>
          <w:rFonts w:ascii="Times New Roman" w:hAnsi="Times New Roman" w:eastAsia="楷体_GB2312" w:cs="Times New Roman"/>
          <w:color w:val="000000" w:themeColor="text1"/>
          <w:szCs w:val="21"/>
        </w:rPr>
        <w:t>4.每项考核内容的扣分总数不得超过标准分值。</w:t>
      </w:r>
    </w:p>
    <w:p>
      <w:pPr>
        <w:spacing w:line="300" w:lineRule="exact"/>
        <w:ind w:firstLine="420" w:firstLineChars="200"/>
        <w:rPr>
          <w:rFonts w:ascii="Times New Roman" w:hAnsi="Times New Roman" w:eastAsia="楷体_GB2312" w:cs="Times New Roman"/>
          <w:color w:val="000000" w:themeColor="text1"/>
          <w:szCs w:val="21"/>
        </w:rPr>
      </w:pPr>
    </w:p>
    <w:sectPr>
      <w:footerReference r:id="rId3" w:type="default"/>
      <w:pgSz w:w="11906" w:h="16838"/>
      <w:pgMar w:top="2098" w:right="1474" w:bottom="1984" w:left="1587" w:header="851"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sz w:val="24"/>
        <w:szCs w:val="24"/>
      </w:rPr>
    </w:pPr>
    <w:r>
      <w:rPr>
        <w:sz w:val="24"/>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699923058"/>
                </w:sdtPr>
                <w:sdtEndPr>
                  <w:rPr>
                    <w:rFonts w:ascii="宋体" w:hAnsi="宋体"/>
                    <w:sz w:val="24"/>
                    <w:szCs w:val="24"/>
                  </w:rPr>
                </w:sdtEndPr>
                <w:sdtContent>
                  <w:p>
                    <w:pPr>
                      <w:pStyle w:val="5"/>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7</w:t>
                    </w:r>
                    <w:r>
                      <w:rPr>
                        <w:rFonts w:ascii="宋体" w:hAnsi="宋体"/>
                        <w:sz w:val="24"/>
                        <w:szCs w:val="24"/>
                      </w:rPr>
                      <w:fldChar w:fldCharType="end"/>
                    </w:r>
                  </w:p>
                </w:sdtContent>
              </w:sdt>
              <w:p>
                <w:pPr>
                  <w:rPr>
                    <w:rFonts w:ascii="宋体" w:hAnsi="宋体"/>
                    <w:sz w:val="24"/>
                    <w:szCs w:val="24"/>
                  </w:rPr>
                </w:pPr>
              </w:p>
            </w:txbxContent>
          </v:textbox>
        </v:shape>
      </w:pic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UxYmIyZDBlYzQ2NmM2ZWMwZmNlNWIyOTU2MDU4MGQifQ=="/>
  </w:docVars>
  <w:rsids>
    <w:rsidRoot w:val="7B795A54"/>
    <w:rsid w:val="00003157"/>
    <w:rsid w:val="00011AF5"/>
    <w:rsid w:val="000255A3"/>
    <w:rsid w:val="000323C6"/>
    <w:rsid w:val="00045158"/>
    <w:rsid w:val="000517D1"/>
    <w:rsid w:val="000660DA"/>
    <w:rsid w:val="000746C8"/>
    <w:rsid w:val="00081377"/>
    <w:rsid w:val="00084361"/>
    <w:rsid w:val="00086EC0"/>
    <w:rsid w:val="000A74AE"/>
    <w:rsid w:val="000A7885"/>
    <w:rsid w:val="000B0693"/>
    <w:rsid w:val="000B4ECE"/>
    <w:rsid w:val="000B68B2"/>
    <w:rsid w:val="000C301B"/>
    <w:rsid w:val="000D08AD"/>
    <w:rsid w:val="000E1FBE"/>
    <w:rsid w:val="000E7739"/>
    <w:rsid w:val="000F0EBC"/>
    <w:rsid w:val="000F11C8"/>
    <w:rsid w:val="001075ED"/>
    <w:rsid w:val="00112E30"/>
    <w:rsid w:val="0011503A"/>
    <w:rsid w:val="00116432"/>
    <w:rsid w:val="00117780"/>
    <w:rsid w:val="00124B4E"/>
    <w:rsid w:val="0015019E"/>
    <w:rsid w:val="00155E7B"/>
    <w:rsid w:val="001604F7"/>
    <w:rsid w:val="0016064E"/>
    <w:rsid w:val="00163DF4"/>
    <w:rsid w:val="00182844"/>
    <w:rsid w:val="001870CC"/>
    <w:rsid w:val="001A65F4"/>
    <w:rsid w:val="001B26F2"/>
    <w:rsid w:val="001B7524"/>
    <w:rsid w:val="001D4CC3"/>
    <w:rsid w:val="001D76BB"/>
    <w:rsid w:val="001F579F"/>
    <w:rsid w:val="00230066"/>
    <w:rsid w:val="00244C02"/>
    <w:rsid w:val="002528D9"/>
    <w:rsid w:val="0025769E"/>
    <w:rsid w:val="00270102"/>
    <w:rsid w:val="00272FAF"/>
    <w:rsid w:val="00285CC4"/>
    <w:rsid w:val="002A7EAC"/>
    <w:rsid w:val="002B6EFB"/>
    <w:rsid w:val="00301E45"/>
    <w:rsid w:val="00303B46"/>
    <w:rsid w:val="0032184E"/>
    <w:rsid w:val="003251B4"/>
    <w:rsid w:val="00326C8B"/>
    <w:rsid w:val="0033551C"/>
    <w:rsid w:val="00336BE1"/>
    <w:rsid w:val="00343FDE"/>
    <w:rsid w:val="00356BEE"/>
    <w:rsid w:val="00375111"/>
    <w:rsid w:val="00391254"/>
    <w:rsid w:val="00395857"/>
    <w:rsid w:val="003B1F07"/>
    <w:rsid w:val="003B3FED"/>
    <w:rsid w:val="003C0B72"/>
    <w:rsid w:val="003D2CF8"/>
    <w:rsid w:val="003F1478"/>
    <w:rsid w:val="00420DBA"/>
    <w:rsid w:val="004215EB"/>
    <w:rsid w:val="004450FB"/>
    <w:rsid w:val="00447112"/>
    <w:rsid w:val="00472A3A"/>
    <w:rsid w:val="00474D9A"/>
    <w:rsid w:val="0049142D"/>
    <w:rsid w:val="0049178D"/>
    <w:rsid w:val="004A18F6"/>
    <w:rsid w:val="004A2DC2"/>
    <w:rsid w:val="004A5305"/>
    <w:rsid w:val="004B61B5"/>
    <w:rsid w:val="004C2F77"/>
    <w:rsid w:val="004D1BF4"/>
    <w:rsid w:val="004D3D18"/>
    <w:rsid w:val="004D5B03"/>
    <w:rsid w:val="004D706D"/>
    <w:rsid w:val="004E2E33"/>
    <w:rsid w:val="004E36BD"/>
    <w:rsid w:val="004F280A"/>
    <w:rsid w:val="004F3FFC"/>
    <w:rsid w:val="004F51FC"/>
    <w:rsid w:val="00520742"/>
    <w:rsid w:val="0052163B"/>
    <w:rsid w:val="0052288B"/>
    <w:rsid w:val="005256E5"/>
    <w:rsid w:val="00525CB2"/>
    <w:rsid w:val="0054061F"/>
    <w:rsid w:val="0054250D"/>
    <w:rsid w:val="00544845"/>
    <w:rsid w:val="00555EAC"/>
    <w:rsid w:val="00557468"/>
    <w:rsid w:val="005650CE"/>
    <w:rsid w:val="0056782D"/>
    <w:rsid w:val="00572D27"/>
    <w:rsid w:val="0058746A"/>
    <w:rsid w:val="005A1575"/>
    <w:rsid w:val="005A79A1"/>
    <w:rsid w:val="005B2324"/>
    <w:rsid w:val="005E0939"/>
    <w:rsid w:val="005F28C1"/>
    <w:rsid w:val="005F3957"/>
    <w:rsid w:val="0061251B"/>
    <w:rsid w:val="0062260D"/>
    <w:rsid w:val="00634893"/>
    <w:rsid w:val="00645394"/>
    <w:rsid w:val="00646FC0"/>
    <w:rsid w:val="006730E7"/>
    <w:rsid w:val="006926F1"/>
    <w:rsid w:val="00694C8D"/>
    <w:rsid w:val="006A1168"/>
    <w:rsid w:val="006A78B8"/>
    <w:rsid w:val="006B205C"/>
    <w:rsid w:val="006B47D1"/>
    <w:rsid w:val="006C054A"/>
    <w:rsid w:val="006C21EB"/>
    <w:rsid w:val="006C632C"/>
    <w:rsid w:val="006E22CC"/>
    <w:rsid w:val="006E54CE"/>
    <w:rsid w:val="006F37B4"/>
    <w:rsid w:val="006F5CB8"/>
    <w:rsid w:val="007043B3"/>
    <w:rsid w:val="00710D97"/>
    <w:rsid w:val="00721452"/>
    <w:rsid w:val="00744B9B"/>
    <w:rsid w:val="0075293E"/>
    <w:rsid w:val="007535EA"/>
    <w:rsid w:val="00754206"/>
    <w:rsid w:val="00763A5E"/>
    <w:rsid w:val="00766248"/>
    <w:rsid w:val="00774DFA"/>
    <w:rsid w:val="00780FF7"/>
    <w:rsid w:val="0079700D"/>
    <w:rsid w:val="007A0400"/>
    <w:rsid w:val="007A17D0"/>
    <w:rsid w:val="007A78C4"/>
    <w:rsid w:val="007C66DC"/>
    <w:rsid w:val="007D490A"/>
    <w:rsid w:val="007F2B58"/>
    <w:rsid w:val="007F4C91"/>
    <w:rsid w:val="00803F2D"/>
    <w:rsid w:val="00820AAA"/>
    <w:rsid w:val="00821C68"/>
    <w:rsid w:val="008227A6"/>
    <w:rsid w:val="00862CD3"/>
    <w:rsid w:val="00867FC6"/>
    <w:rsid w:val="008743C5"/>
    <w:rsid w:val="00874DE3"/>
    <w:rsid w:val="0087547A"/>
    <w:rsid w:val="008822CC"/>
    <w:rsid w:val="00885779"/>
    <w:rsid w:val="00892DA5"/>
    <w:rsid w:val="00893A8F"/>
    <w:rsid w:val="008A14A9"/>
    <w:rsid w:val="008A282E"/>
    <w:rsid w:val="008A6693"/>
    <w:rsid w:val="008A7BD4"/>
    <w:rsid w:val="008B5200"/>
    <w:rsid w:val="008B561F"/>
    <w:rsid w:val="008C64B1"/>
    <w:rsid w:val="009010F1"/>
    <w:rsid w:val="00904D30"/>
    <w:rsid w:val="00906CEE"/>
    <w:rsid w:val="0092665A"/>
    <w:rsid w:val="00932B73"/>
    <w:rsid w:val="0093385C"/>
    <w:rsid w:val="0094263E"/>
    <w:rsid w:val="009452EA"/>
    <w:rsid w:val="00953647"/>
    <w:rsid w:val="0096629B"/>
    <w:rsid w:val="009703D6"/>
    <w:rsid w:val="00997E20"/>
    <w:rsid w:val="009C0824"/>
    <w:rsid w:val="009F3D98"/>
    <w:rsid w:val="00A06EC4"/>
    <w:rsid w:val="00A10DB3"/>
    <w:rsid w:val="00A1655D"/>
    <w:rsid w:val="00A2403E"/>
    <w:rsid w:val="00A33E63"/>
    <w:rsid w:val="00A525ED"/>
    <w:rsid w:val="00A53702"/>
    <w:rsid w:val="00A72A0D"/>
    <w:rsid w:val="00A74387"/>
    <w:rsid w:val="00A85639"/>
    <w:rsid w:val="00A93511"/>
    <w:rsid w:val="00A961E2"/>
    <w:rsid w:val="00AB3B89"/>
    <w:rsid w:val="00AC4C1B"/>
    <w:rsid w:val="00AD107F"/>
    <w:rsid w:val="00AF153C"/>
    <w:rsid w:val="00AF74D5"/>
    <w:rsid w:val="00B136CC"/>
    <w:rsid w:val="00B23F07"/>
    <w:rsid w:val="00B322F2"/>
    <w:rsid w:val="00B34357"/>
    <w:rsid w:val="00B40EEC"/>
    <w:rsid w:val="00B423FF"/>
    <w:rsid w:val="00B62107"/>
    <w:rsid w:val="00B70925"/>
    <w:rsid w:val="00B73CF4"/>
    <w:rsid w:val="00B97710"/>
    <w:rsid w:val="00BC736F"/>
    <w:rsid w:val="00BD150B"/>
    <w:rsid w:val="00BD29DD"/>
    <w:rsid w:val="00BD32DC"/>
    <w:rsid w:val="00BF0879"/>
    <w:rsid w:val="00BF5A0B"/>
    <w:rsid w:val="00BF6998"/>
    <w:rsid w:val="00C10B32"/>
    <w:rsid w:val="00C12D15"/>
    <w:rsid w:val="00C20386"/>
    <w:rsid w:val="00C26134"/>
    <w:rsid w:val="00C26554"/>
    <w:rsid w:val="00C313FC"/>
    <w:rsid w:val="00C36C88"/>
    <w:rsid w:val="00C5327E"/>
    <w:rsid w:val="00C55B21"/>
    <w:rsid w:val="00C675B0"/>
    <w:rsid w:val="00C701A1"/>
    <w:rsid w:val="00C72D1A"/>
    <w:rsid w:val="00C76233"/>
    <w:rsid w:val="00C91AA9"/>
    <w:rsid w:val="00CF4344"/>
    <w:rsid w:val="00D06543"/>
    <w:rsid w:val="00D06A0B"/>
    <w:rsid w:val="00D2108B"/>
    <w:rsid w:val="00D2405A"/>
    <w:rsid w:val="00D343F3"/>
    <w:rsid w:val="00D51D52"/>
    <w:rsid w:val="00D5470C"/>
    <w:rsid w:val="00D56853"/>
    <w:rsid w:val="00D57D9B"/>
    <w:rsid w:val="00D64237"/>
    <w:rsid w:val="00D70574"/>
    <w:rsid w:val="00D82B2B"/>
    <w:rsid w:val="00D85E63"/>
    <w:rsid w:val="00D94017"/>
    <w:rsid w:val="00DA0E1C"/>
    <w:rsid w:val="00DA227C"/>
    <w:rsid w:val="00DA35A4"/>
    <w:rsid w:val="00DA414E"/>
    <w:rsid w:val="00DA515A"/>
    <w:rsid w:val="00DA69CD"/>
    <w:rsid w:val="00DB430F"/>
    <w:rsid w:val="00DC23CE"/>
    <w:rsid w:val="00DC31DF"/>
    <w:rsid w:val="00DC655B"/>
    <w:rsid w:val="00DD0F0D"/>
    <w:rsid w:val="00DE31AA"/>
    <w:rsid w:val="00E04A63"/>
    <w:rsid w:val="00E13E2D"/>
    <w:rsid w:val="00E27893"/>
    <w:rsid w:val="00E365F2"/>
    <w:rsid w:val="00E47ADC"/>
    <w:rsid w:val="00E56C11"/>
    <w:rsid w:val="00E65FB8"/>
    <w:rsid w:val="00E663A7"/>
    <w:rsid w:val="00E74E15"/>
    <w:rsid w:val="00E77182"/>
    <w:rsid w:val="00E86996"/>
    <w:rsid w:val="00E86B61"/>
    <w:rsid w:val="00E96B29"/>
    <w:rsid w:val="00EB7916"/>
    <w:rsid w:val="00EC51C0"/>
    <w:rsid w:val="00EE1DA6"/>
    <w:rsid w:val="00EF57B5"/>
    <w:rsid w:val="00F16ED0"/>
    <w:rsid w:val="00F22EFB"/>
    <w:rsid w:val="00F23F8D"/>
    <w:rsid w:val="00F24799"/>
    <w:rsid w:val="00F26E22"/>
    <w:rsid w:val="00F27280"/>
    <w:rsid w:val="00F56E39"/>
    <w:rsid w:val="00F631BC"/>
    <w:rsid w:val="00F6518D"/>
    <w:rsid w:val="00F76649"/>
    <w:rsid w:val="00F836A3"/>
    <w:rsid w:val="00F9001E"/>
    <w:rsid w:val="00F96630"/>
    <w:rsid w:val="00FA7B25"/>
    <w:rsid w:val="00FB225F"/>
    <w:rsid w:val="00FC5F4C"/>
    <w:rsid w:val="00FC77A7"/>
    <w:rsid w:val="00FD2795"/>
    <w:rsid w:val="00FD7374"/>
    <w:rsid w:val="00FF230D"/>
    <w:rsid w:val="014D5327"/>
    <w:rsid w:val="01521C8D"/>
    <w:rsid w:val="019E5448"/>
    <w:rsid w:val="01BC2755"/>
    <w:rsid w:val="02003DFC"/>
    <w:rsid w:val="02A26266"/>
    <w:rsid w:val="02C46BBB"/>
    <w:rsid w:val="02E842BB"/>
    <w:rsid w:val="030B2AC3"/>
    <w:rsid w:val="0341645D"/>
    <w:rsid w:val="035D1AE3"/>
    <w:rsid w:val="036A4624"/>
    <w:rsid w:val="038134CC"/>
    <w:rsid w:val="039959AA"/>
    <w:rsid w:val="03D96B5A"/>
    <w:rsid w:val="040F20B8"/>
    <w:rsid w:val="04317AFA"/>
    <w:rsid w:val="04D1736D"/>
    <w:rsid w:val="05245BA1"/>
    <w:rsid w:val="055406CA"/>
    <w:rsid w:val="057E0ADF"/>
    <w:rsid w:val="059B410B"/>
    <w:rsid w:val="05AE2D4F"/>
    <w:rsid w:val="05BC7714"/>
    <w:rsid w:val="06316EAB"/>
    <w:rsid w:val="06606FD5"/>
    <w:rsid w:val="06732DD2"/>
    <w:rsid w:val="06A80422"/>
    <w:rsid w:val="07DC709C"/>
    <w:rsid w:val="07DF7FF2"/>
    <w:rsid w:val="080E5AC1"/>
    <w:rsid w:val="08143CD2"/>
    <w:rsid w:val="0852360B"/>
    <w:rsid w:val="087C2E3E"/>
    <w:rsid w:val="08A06E81"/>
    <w:rsid w:val="08A53E33"/>
    <w:rsid w:val="08AE2877"/>
    <w:rsid w:val="08C416C3"/>
    <w:rsid w:val="08E41FD5"/>
    <w:rsid w:val="08EB67B2"/>
    <w:rsid w:val="093E1F1D"/>
    <w:rsid w:val="0959633F"/>
    <w:rsid w:val="099454F2"/>
    <w:rsid w:val="09A03223"/>
    <w:rsid w:val="09CE0DAF"/>
    <w:rsid w:val="09E25362"/>
    <w:rsid w:val="09F132EA"/>
    <w:rsid w:val="0A147937"/>
    <w:rsid w:val="0A2054EB"/>
    <w:rsid w:val="0A276CF1"/>
    <w:rsid w:val="0AAA33D0"/>
    <w:rsid w:val="0AC23797"/>
    <w:rsid w:val="0AC50137"/>
    <w:rsid w:val="0ADF080B"/>
    <w:rsid w:val="0B0B4F54"/>
    <w:rsid w:val="0B445418"/>
    <w:rsid w:val="0B863AD8"/>
    <w:rsid w:val="0BC470A0"/>
    <w:rsid w:val="0BEB3BDC"/>
    <w:rsid w:val="0C380F17"/>
    <w:rsid w:val="0D103128"/>
    <w:rsid w:val="0D186481"/>
    <w:rsid w:val="0D1A7CFE"/>
    <w:rsid w:val="0D3154DF"/>
    <w:rsid w:val="0D3E3A75"/>
    <w:rsid w:val="0D68532D"/>
    <w:rsid w:val="0D6A3503"/>
    <w:rsid w:val="0DB25F8E"/>
    <w:rsid w:val="0DD76B26"/>
    <w:rsid w:val="0E344C6B"/>
    <w:rsid w:val="0E4C6700"/>
    <w:rsid w:val="0E6B199A"/>
    <w:rsid w:val="0E7A5FE3"/>
    <w:rsid w:val="0F4A3523"/>
    <w:rsid w:val="0F6269F1"/>
    <w:rsid w:val="0F876B0D"/>
    <w:rsid w:val="0FA33498"/>
    <w:rsid w:val="109A2FA2"/>
    <w:rsid w:val="109C4D8A"/>
    <w:rsid w:val="10C273F9"/>
    <w:rsid w:val="10C43081"/>
    <w:rsid w:val="10FD0ECD"/>
    <w:rsid w:val="110F7E62"/>
    <w:rsid w:val="11A91641"/>
    <w:rsid w:val="121C6872"/>
    <w:rsid w:val="123F44EE"/>
    <w:rsid w:val="128D16D4"/>
    <w:rsid w:val="12C14D6D"/>
    <w:rsid w:val="12F86568"/>
    <w:rsid w:val="13016284"/>
    <w:rsid w:val="131C6F6F"/>
    <w:rsid w:val="13B036D7"/>
    <w:rsid w:val="13E62E35"/>
    <w:rsid w:val="14011FF8"/>
    <w:rsid w:val="14236EF1"/>
    <w:rsid w:val="1497505A"/>
    <w:rsid w:val="14CE4C6A"/>
    <w:rsid w:val="14CF6DC4"/>
    <w:rsid w:val="150C68CB"/>
    <w:rsid w:val="151A7B59"/>
    <w:rsid w:val="15325C06"/>
    <w:rsid w:val="156A4754"/>
    <w:rsid w:val="165920D3"/>
    <w:rsid w:val="16924078"/>
    <w:rsid w:val="169D4A84"/>
    <w:rsid w:val="16C531D6"/>
    <w:rsid w:val="16E109A1"/>
    <w:rsid w:val="16FB413C"/>
    <w:rsid w:val="170A726D"/>
    <w:rsid w:val="174840EA"/>
    <w:rsid w:val="17C46D09"/>
    <w:rsid w:val="17D43E97"/>
    <w:rsid w:val="17D47448"/>
    <w:rsid w:val="180062C8"/>
    <w:rsid w:val="185F4F64"/>
    <w:rsid w:val="18712EAB"/>
    <w:rsid w:val="187C1BBC"/>
    <w:rsid w:val="18C140FE"/>
    <w:rsid w:val="190408ED"/>
    <w:rsid w:val="196D3528"/>
    <w:rsid w:val="19846FE0"/>
    <w:rsid w:val="1A6B54E7"/>
    <w:rsid w:val="1A895829"/>
    <w:rsid w:val="1AF31C5C"/>
    <w:rsid w:val="1B2C0F9D"/>
    <w:rsid w:val="1BCA6982"/>
    <w:rsid w:val="1BD76880"/>
    <w:rsid w:val="1C025B30"/>
    <w:rsid w:val="1C1339F7"/>
    <w:rsid w:val="1C2B2786"/>
    <w:rsid w:val="1C453813"/>
    <w:rsid w:val="1C6E1C1A"/>
    <w:rsid w:val="1C987158"/>
    <w:rsid w:val="1CA34F1A"/>
    <w:rsid w:val="1CC42684"/>
    <w:rsid w:val="1CCA28FC"/>
    <w:rsid w:val="1CE13C81"/>
    <w:rsid w:val="1CEA0CCF"/>
    <w:rsid w:val="1D6B7F07"/>
    <w:rsid w:val="1DAC14E4"/>
    <w:rsid w:val="1DAD0520"/>
    <w:rsid w:val="1DBA5B0F"/>
    <w:rsid w:val="1DD60D39"/>
    <w:rsid w:val="1E0167EB"/>
    <w:rsid w:val="1E275B93"/>
    <w:rsid w:val="1E4C11A7"/>
    <w:rsid w:val="1E671732"/>
    <w:rsid w:val="1E6A7966"/>
    <w:rsid w:val="1EA61BD6"/>
    <w:rsid w:val="1EA87764"/>
    <w:rsid w:val="1EC15B44"/>
    <w:rsid w:val="1EDB546F"/>
    <w:rsid w:val="1EDC1F32"/>
    <w:rsid w:val="1F401481"/>
    <w:rsid w:val="1F590858"/>
    <w:rsid w:val="1F9574BD"/>
    <w:rsid w:val="1FA37E2C"/>
    <w:rsid w:val="20552EFF"/>
    <w:rsid w:val="21277601"/>
    <w:rsid w:val="21421A73"/>
    <w:rsid w:val="217A7DF5"/>
    <w:rsid w:val="218277CF"/>
    <w:rsid w:val="21AB64BC"/>
    <w:rsid w:val="21FC5A0F"/>
    <w:rsid w:val="21FD5CDE"/>
    <w:rsid w:val="222033E8"/>
    <w:rsid w:val="22794769"/>
    <w:rsid w:val="22B826E2"/>
    <w:rsid w:val="22D20C67"/>
    <w:rsid w:val="23257552"/>
    <w:rsid w:val="232C3D3C"/>
    <w:rsid w:val="233D5FFC"/>
    <w:rsid w:val="23525171"/>
    <w:rsid w:val="23662D56"/>
    <w:rsid w:val="23BD5235"/>
    <w:rsid w:val="23C32CEC"/>
    <w:rsid w:val="23D42CAA"/>
    <w:rsid w:val="23DF51AB"/>
    <w:rsid w:val="23EE6F21"/>
    <w:rsid w:val="243C34F5"/>
    <w:rsid w:val="24446C07"/>
    <w:rsid w:val="24B921E1"/>
    <w:rsid w:val="25123C17"/>
    <w:rsid w:val="25527AF3"/>
    <w:rsid w:val="259465DA"/>
    <w:rsid w:val="25DB4423"/>
    <w:rsid w:val="261E020C"/>
    <w:rsid w:val="26656889"/>
    <w:rsid w:val="268B7118"/>
    <w:rsid w:val="26B84FD6"/>
    <w:rsid w:val="26CD5198"/>
    <w:rsid w:val="26FC5568"/>
    <w:rsid w:val="270E38A9"/>
    <w:rsid w:val="27726198"/>
    <w:rsid w:val="27D6216C"/>
    <w:rsid w:val="28781588"/>
    <w:rsid w:val="28971DD9"/>
    <w:rsid w:val="28AB79FC"/>
    <w:rsid w:val="29104C1F"/>
    <w:rsid w:val="291F5FE5"/>
    <w:rsid w:val="294D2BB7"/>
    <w:rsid w:val="296665D3"/>
    <w:rsid w:val="29B11E6F"/>
    <w:rsid w:val="29DA5475"/>
    <w:rsid w:val="2A035756"/>
    <w:rsid w:val="2A1074FE"/>
    <w:rsid w:val="2A8D1B25"/>
    <w:rsid w:val="2B976A31"/>
    <w:rsid w:val="2BE15837"/>
    <w:rsid w:val="2C64193A"/>
    <w:rsid w:val="2C6A03AA"/>
    <w:rsid w:val="2C6A1980"/>
    <w:rsid w:val="2C9D0B82"/>
    <w:rsid w:val="2CDD4613"/>
    <w:rsid w:val="2D14247A"/>
    <w:rsid w:val="2DB20ED5"/>
    <w:rsid w:val="2DB26F99"/>
    <w:rsid w:val="2E35643B"/>
    <w:rsid w:val="2E8E1BED"/>
    <w:rsid w:val="2EAE40F8"/>
    <w:rsid w:val="2F0F6620"/>
    <w:rsid w:val="2FCF4325"/>
    <w:rsid w:val="30274A35"/>
    <w:rsid w:val="303049FD"/>
    <w:rsid w:val="304172BC"/>
    <w:rsid w:val="3067501A"/>
    <w:rsid w:val="30763E8C"/>
    <w:rsid w:val="30A3170E"/>
    <w:rsid w:val="30DD429F"/>
    <w:rsid w:val="31081D5F"/>
    <w:rsid w:val="310F0472"/>
    <w:rsid w:val="31B1601B"/>
    <w:rsid w:val="31C50377"/>
    <w:rsid w:val="32300FDE"/>
    <w:rsid w:val="323C02B6"/>
    <w:rsid w:val="325053C7"/>
    <w:rsid w:val="32C85EC3"/>
    <w:rsid w:val="33297ABE"/>
    <w:rsid w:val="33371D5E"/>
    <w:rsid w:val="33A4647A"/>
    <w:rsid w:val="33CC4717"/>
    <w:rsid w:val="33E14242"/>
    <w:rsid w:val="33EB27ED"/>
    <w:rsid w:val="341276CC"/>
    <w:rsid w:val="34A71524"/>
    <w:rsid w:val="34DC452A"/>
    <w:rsid w:val="35322F2C"/>
    <w:rsid w:val="35587075"/>
    <w:rsid w:val="357445FB"/>
    <w:rsid w:val="3579545F"/>
    <w:rsid w:val="35B86E20"/>
    <w:rsid w:val="35B97C1E"/>
    <w:rsid w:val="35D256F6"/>
    <w:rsid w:val="361C0AA0"/>
    <w:rsid w:val="36B95599"/>
    <w:rsid w:val="36DC54DD"/>
    <w:rsid w:val="36F61C8D"/>
    <w:rsid w:val="37943E0C"/>
    <w:rsid w:val="37F232A7"/>
    <w:rsid w:val="3845787B"/>
    <w:rsid w:val="38561466"/>
    <w:rsid w:val="38C65EDD"/>
    <w:rsid w:val="38FE11C5"/>
    <w:rsid w:val="39111E96"/>
    <w:rsid w:val="391E1E7A"/>
    <w:rsid w:val="3951682C"/>
    <w:rsid w:val="39825170"/>
    <w:rsid w:val="39A700C1"/>
    <w:rsid w:val="3A4F112C"/>
    <w:rsid w:val="3A573E9C"/>
    <w:rsid w:val="3A577E45"/>
    <w:rsid w:val="3A6A42A0"/>
    <w:rsid w:val="3A6B3B12"/>
    <w:rsid w:val="3A831210"/>
    <w:rsid w:val="3A9E4493"/>
    <w:rsid w:val="3AD924FC"/>
    <w:rsid w:val="3B0B5D2C"/>
    <w:rsid w:val="3B1D1F76"/>
    <w:rsid w:val="3B6345BC"/>
    <w:rsid w:val="3BB6790B"/>
    <w:rsid w:val="3BC10AFC"/>
    <w:rsid w:val="3BD41432"/>
    <w:rsid w:val="3CC05B1A"/>
    <w:rsid w:val="3CD265EC"/>
    <w:rsid w:val="3CD70CBD"/>
    <w:rsid w:val="3CEA350B"/>
    <w:rsid w:val="3CF81A2E"/>
    <w:rsid w:val="3D3014AF"/>
    <w:rsid w:val="3D600C43"/>
    <w:rsid w:val="3DB167DC"/>
    <w:rsid w:val="3DB544DA"/>
    <w:rsid w:val="3DBF59D9"/>
    <w:rsid w:val="3DD4289D"/>
    <w:rsid w:val="3DE1386F"/>
    <w:rsid w:val="3DF207A0"/>
    <w:rsid w:val="3E9E4DE0"/>
    <w:rsid w:val="3ECD7285"/>
    <w:rsid w:val="3EDB5CD0"/>
    <w:rsid w:val="3EE863B4"/>
    <w:rsid w:val="3F1E79B4"/>
    <w:rsid w:val="3F4A66DF"/>
    <w:rsid w:val="3F6B1054"/>
    <w:rsid w:val="3F90221C"/>
    <w:rsid w:val="3FCA68B7"/>
    <w:rsid w:val="3FFD5E6D"/>
    <w:rsid w:val="4082419D"/>
    <w:rsid w:val="40DA5BCB"/>
    <w:rsid w:val="41224F6A"/>
    <w:rsid w:val="4166568A"/>
    <w:rsid w:val="416C0D4E"/>
    <w:rsid w:val="418C02C8"/>
    <w:rsid w:val="41BE42EE"/>
    <w:rsid w:val="41C65E56"/>
    <w:rsid w:val="41EC5971"/>
    <w:rsid w:val="420248E8"/>
    <w:rsid w:val="420506D3"/>
    <w:rsid w:val="422514B1"/>
    <w:rsid w:val="425A6618"/>
    <w:rsid w:val="42AD24B8"/>
    <w:rsid w:val="42BC0994"/>
    <w:rsid w:val="43212D09"/>
    <w:rsid w:val="432F61E0"/>
    <w:rsid w:val="437230ED"/>
    <w:rsid w:val="43AD4E49"/>
    <w:rsid w:val="44593688"/>
    <w:rsid w:val="44901E7E"/>
    <w:rsid w:val="44C67F95"/>
    <w:rsid w:val="44EB6944"/>
    <w:rsid w:val="45082796"/>
    <w:rsid w:val="451D2064"/>
    <w:rsid w:val="452C6D53"/>
    <w:rsid w:val="45424FA0"/>
    <w:rsid w:val="459B1FF7"/>
    <w:rsid w:val="45AA4DFB"/>
    <w:rsid w:val="45DD742A"/>
    <w:rsid w:val="45E65169"/>
    <w:rsid w:val="469B5DE5"/>
    <w:rsid w:val="46B823C0"/>
    <w:rsid w:val="46CF74F6"/>
    <w:rsid w:val="46DE29E6"/>
    <w:rsid w:val="46E305D2"/>
    <w:rsid w:val="476717F2"/>
    <w:rsid w:val="47E36768"/>
    <w:rsid w:val="482D4F8A"/>
    <w:rsid w:val="48457B65"/>
    <w:rsid w:val="48650722"/>
    <w:rsid w:val="48BC5245"/>
    <w:rsid w:val="48BC7ED4"/>
    <w:rsid w:val="48EE1E28"/>
    <w:rsid w:val="48EE65CA"/>
    <w:rsid w:val="49266DB0"/>
    <w:rsid w:val="497E7415"/>
    <w:rsid w:val="49862759"/>
    <w:rsid w:val="49D27D99"/>
    <w:rsid w:val="4A744687"/>
    <w:rsid w:val="4A8E6457"/>
    <w:rsid w:val="4A9D1BA0"/>
    <w:rsid w:val="4AFB2DDF"/>
    <w:rsid w:val="4B382D5D"/>
    <w:rsid w:val="4B9D25BB"/>
    <w:rsid w:val="4BB946FE"/>
    <w:rsid w:val="4BE72492"/>
    <w:rsid w:val="4C6F30A9"/>
    <w:rsid w:val="4C902C23"/>
    <w:rsid w:val="4C9661E5"/>
    <w:rsid w:val="4CF302B2"/>
    <w:rsid w:val="4D362276"/>
    <w:rsid w:val="4D4B0A94"/>
    <w:rsid w:val="4DA8088B"/>
    <w:rsid w:val="4DE07600"/>
    <w:rsid w:val="4E585F9D"/>
    <w:rsid w:val="4E6D5CFC"/>
    <w:rsid w:val="4E721E5E"/>
    <w:rsid w:val="4E7D2FD3"/>
    <w:rsid w:val="4EAD6D3D"/>
    <w:rsid w:val="4EBB3B6D"/>
    <w:rsid w:val="4F3D108E"/>
    <w:rsid w:val="4FEE5638"/>
    <w:rsid w:val="50A02BB0"/>
    <w:rsid w:val="5108521C"/>
    <w:rsid w:val="513007C1"/>
    <w:rsid w:val="517C2166"/>
    <w:rsid w:val="518721FB"/>
    <w:rsid w:val="52003D08"/>
    <w:rsid w:val="52302DC5"/>
    <w:rsid w:val="523A38E0"/>
    <w:rsid w:val="52455887"/>
    <w:rsid w:val="52626A21"/>
    <w:rsid w:val="526E6529"/>
    <w:rsid w:val="530A3743"/>
    <w:rsid w:val="53115595"/>
    <w:rsid w:val="532F4891"/>
    <w:rsid w:val="53380C77"/>
    <w:rsid w:val="53460996"/>
    <w:rsid w:val="53933F04"/>
    <w:rsid w:val="53A2397B"/>
    <w:rsid w:val="53A5289D"/>
    <w:rsid w:val="53A5346C"/>
    <w:rsid w:val="541A5C08"/>
    <w:rsid w:val="548F0958"/>
    <w:rsid w:val="549F3AD1"/>
    <w:rsid w:val="54B87687"/>
    <w:rsid w:val="54D71FD6"/>
    <w:rsid w:val="54F20494"/>
    <w:rsid w:val="553E2053"/>
    <w:rsid w:val="56136EE8"/>
    <w:rsid w:val="561728D5"/>
    <w:rsid w:val="562D45E3"/>
    <w:rsid w:val="56353132"/>
    <w:rsid w:val="56A24D79"/>
    <w:rsid w:val="575351E3"/>
    <w:rsid w:val="57763155"/>
    <w:rsid w:val="57F7240A"/>
    <w:rsid w:val="58AB22B8"/>
    <w:rsid w:val="590D743B"/>
    <w:rsid w:val="5A3B5088"/>
    <w:rsid w:val="5ABC0F90"/>
    <w:rsid w:val="5B5C4820"/>
    <w:rsid w:val="5BEA7C5C"/>
    <w:rsid w:val="5C2E7037"/>
    <w:rsid w:val="5C49623E"/>
    <w:rsid w:val="5C573957"/>
    <w:rsid w:val="5C967C93"/>
    <w:rsid w:val="5CBA1760"/>
    <w:rsid w:val="5CFD34E7"/>
    <w:rsid w:val="5D014A76"/>
    <w:rsid w:val="5DDB6A73"/>
    <w:rsid w:val="5DE26951"/>
    <w:rsid w:val="5DFF6E9D"/>
    <w:rsid w:val="5EDB5708"/>
    <w:rsid w:val="5F5028DB"/>
    <w:rsid w:val="5F645F38"/>
    <w:rsid w:val="5F712693"/>
    <w:rsid w:val="601066D5"/>
    <w:rsid w:val="6022649B"/>
    <w:rsid w:val="60A50E38"/>
    <w:rsid w:val="60B722E3"/>
    <w:rsid w:val="60BC7208"/>
    <w:rsid w:val="60EF491D"/>
    <w:rsid w:val="60F60F76"/>
    <w:rsid w:val="610E37CB"/>
    <w:rsid w:val="615B5A64"/>
    <w:rsid w:val="61951D6A"/>
    <w:rsid w:val="61D33E71"/>
    <w:rsid w:val="61E36C72"/>
    <w:rsid w:val="623E596D"/>
    <w:rsid w:val="62524286"/>
    <w:rsid w:val="62601692"/>
    <w:rsid w:val="629E0020"/>
    <w:rsid w:val="62CC08C0"/>
    <w:rsid w:val="62DD79FB"/>
    <w:rsid w:val="62E239DB"/>
    <w:rsid w:val="62E66B6E"/>
    <w:rsid w:val="631C6977"/>
    <w:rsid w:val="63B81FA1"/>
    <w:rsid w:val="63CC3A1E"/>
    <w:rsid w:val="64113856"/>
    <w:rsid w:val="641E7135"/>
    <w:rsid w:val="64391FD7"/>
    <w:rsid w:val="643F32F0"/>
    <w:rsid w:val="64670ED9"/>
    <w:rsid w:val="64944E87"/>
    <w:rsid w:val="64F93BF5"/>
    <w:rsid w:val="654C74CD"/>
    <w:rsid w:val="65797B89"/>
    <w:rsid w:val="65BF1D0C"/>
    <w:rsid w:val="65F96CE2"/>
    <w:rsid w:val="660B3602"/>
    <w:rsid w:val="668C5638"/>
    <w:rsid w:val="66E00211"/>
    <w:rsid w:val="66EF6A80"/>
    <w:rsid w:val="67217B92"/>
    <w:rsid w:val="673646AF"/>
    <w:rsid w:val="68637BCE"/>
    <w:rsid w:val="68B37186"/>
    <w:rsid w:val="68BB47B8"/>
    <w:rsid w:val="68C22C9F"/>
    <w:rsid w:val="68C2587B"/>
    <w:rsid w:val="691B3DA7"/>
    <w:rsid w:val="693D52F9"/>
    <w:rsid w:val="69692B1A"/>
    <w:rsid w:val="696D3B45"/>
    <w:rsid w:val="69BE031B"/>
    <w:rsid w:val="69E33E32"/>
    <w:rsid w:val="69EE22A9"/>
    <w:rsid w:val="6A127AB9"/>
    <w:rsid w:val="6A536AC2"/>
    <w:rsid w:val="6AA21CCB"/>
    <w:rsid w:val="6AD42215"/>
    <w:rsid w:val="6AE5799C"/>
    <w:rsid w:val="6B070CD2"/>
    <w:rsid w:val="6B111093"/>
    <w:rsid w:val="6B1D3939"/>
    <w:rsid w:val="6B292D7C"/>
    <w:rsid w:val="6B4F531C"/>
    <w:rsid w:val="6B800428"/>
    <w:rsid w:val="6B8E4AB9"/>
    <w:rsid w:val="6BAF1736"/>
    <w:rsid w:val="6BE513E7"/>
    <w:rsid w:val="6CA67BE1"/>
    <w:rsid w:val="6CA9665E"/>
    <w:rsid w:val="6CAC57A6"/>
    <w:rsid w:val="6CCE1116"/>
    <w:rsid w:val="6CD54340"/>
    <w:rsid w:val="6CEB72A5"/>
    <w:rsid w:val="6CF60C9E"/>
    <w:rsid w:val="6CF614D4"/>
    <w:rsid w:val="6D5E05A2"/>
    <w:rsid w:val="6D607702"/>
    <w:rsid w:val="6D925667"/>
    <w:rsid w:val="6DB74C43"/>
    <w:rsid w:val="6DD05EAC"/>
    <w:rsid w:val="6DD60344"/>
    <w:rsid w:val="6DF17639"/>
    <w:rsid w:val="6E0C532D"/>
    <w:rsid w:val="6E7F2DDF"/>
    <w:rsid w:val="6E94146F"/>
    <w:rsid w:val="6EB03F5C"/>
    <w:rsid w:val="6ECA221C"/>
    <w:rsid w:val="6F094457"/>
    <w:rsid w:val="6F350E9A"/>
    <w:rsid w:val="6F4D5330"/>
    <w:rsid w:val="6F647C93"/>
    <w:rsid w:val="6F6D3DA5"/>
    <w:rsid w:val="6FD53E43"/>
    <w:rsid w:val="6FEA66B3"/>
    <w:rsid w:val="7020414E"/>
    <w:rsid w:val="704240A8"/>
    <w:rsid w:val="709A615F"/>
    <w:rsid w:val="709F404A"/>
    <w:rsid w:val="70FA42E0"/>
    <w:rsid w:val="70FE6589"/>
    <w:rsid w:val="712228D1"/>
    <w:rsid w:val="71B92164"/>
    <w:rsid w:val="71E24634"/>
    <w:rsid w:val="71EA05E0"/>
    <w:rsid w:val="71F35A58"/>
    <w:rsid w:val="720D1744"/>
    <w:rsid w:val="726E5CB9"/>
    <w:rsid w:val="72F95F8F"/>
    <w:rsid w:val="73102DAA"/>
    <w:rsid w:val="7319341F"/>
    <w:rsid w:val="731F2360"/>
    <w:rsid w:val="7349576A"/>
    <w:rsid w:val="73A92DC6"/>
    <w:rsid w:val="73D07D30"/>
    <w:rsid w:val="74146E06"/>
    <w:rsid w:val="7471046A"/>
    <w:rsid w:val="74BD46D7"/>
    <w:rsid w:val="74C03A22"/>
    <w:rsid w:val="750321A6"/>
    <w:rsid w:val="75496A6D"/>
    <w:rsid w:val="755813B7"/>
    <w:rsid w:val="755B2CFB"/>
    <w:rsid w:val="763B6A62"/>
    <w:rsid w:val="76571F4C"/>
    <w:rsid w:val="76573BCC"/>
    <w:rsid w:val="768371E5"/>
    <w:rsid w:val="77034B12"/>
    <w:rsid w:val="773D7567"/>
    <w:rsid w:val="774820F5"/>
    <w:rsid w:val="77640DC4"/>
    <w:rsid w:val="784020F0"/>
    <w:rsid w:val="784816AD"/>
    <w:rsid w:val="784C1AC5"/>
    <w:rsid w:val="78996546"/>
    <w:rsid w:val="78AA797A"/>
    <w:rsid w:val="79780B57"/>
    <w:rsid w:val="7A3D6FC9"/>
    <w:rsid w:val="7AB20098"/>
    <w:rsid w:val="7AFB5F32"/>
    <w:rsid w:val="7B045992"/>
    <w:rsid w:val="7B365D6C"/>
    <w:rsid w:val="7B475856"/>
    <w:rsid w:val="7B717702"/>
    <w:rsid w:val="7B795A54"/>
    <w:rsid w:val="7BEF0244"/>
    <w:rsid w:val="7C5B3A94"/>
    <w:rsid w:val="7C5C0012"/>
    <w:rsid w:val="7C5D6E58"/>
    <w:rsid w:val="7C6A24BB"/>
    <w:rsid w:val="7CCA5E98"/>
    <w:rsid w:val="7D6E25E3"/>
    <w:rsid w:val="7DFA0D49"/>
    <w:rsid w:val="7E1A042F"/>
    <w:rsid w:val="7E9B60C5"/>
    <w:rsid w:val="7EBD6DE0"/>
    <w:rsid w:val="7F023311"/>
    <w:rsid w:val="7F314FB6"/>
    <w:rsid w:val="7FEA16CA"/>
    <w:rsid w:val="7FF646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2"/>
    <w:basedOn w:val="1"/>
    <w:qFormat/>
    <w:uiPriority w:val="0"/>
    <w:pPr>
      <w:spacing w:after="120" w:line="480" w:lineRule="auto"/>
      <w:ind w:left="420" w:leftChars="200"/>
    </w:pPr>
  </w:style>
  <w:style w:type="paragraph" w:styleId="4">
    <w:name w:val="Balloon Text"/>
    <w:basedOn w:val="1"/>
    <w:link w:val="14"/>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next w:val="5"/>
    <w:qFormat/>
    <w:uiPriority w:val="0"/>
    <w:pPr>
      <w:widowControl w:val="0"/>
      <w:ind w:firstLine="200" w:firstLineChars="200"/>
      <w:jc w:val="both"/>
    </w:pPr>
    <w:rPr>
      <w:rFonts w:ascii="仿宋_GB2312" w:hAnsi="Times New Roman" w:eastAsia="仿宋_GB2312" w:cs="Times New Roman"/>
      <w:kern w:val="2"/>
      <w:sz w:val="28"/>
      <w:szCs w:val="24"/>
      <w:lang w:val="en-US" w:eastAsia="zh-CN" w:bidi="ar-SA"/>
    </w:rPr>
  </w:style>
  <w:style w:type="paragraph" w:styleId="8">
    <w:name w:val="Normal (Web)"/>
    <w:basedOn w:val="1"/>
    <w:qFormat/>
    <w:uiPriority w:val="0"/>
    <w:pPr>
      <w:spacing w:before="100" w:beforeAutospacing="1" w:after="100"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mphasis"/>
    <w:basedOn w:val="11"/>
    <w:qFormat/>
    <w:uiPriority w:val="20"/>
    <w:rPr>
      <w:i/>
      <w:iCs/>
    </w:rPr>
  </w:style>
  <w:style w:type="character" w:customStyle="1" w:styleId="13">
    <w:name w:val="页眉 Char"/>
    <w:basedOn w:val="11"/>
    <w:link w:val="6"/>
    <w:qFormat/>
    <w:uiPriority w:val="0"/>
    <w:rPr>
      <w:rFonts w:asciiTheme="minorHAnsi" w:hAnsiTheme="minorHAnsi" w:eastAsiaTheme="minorEastAsia" w:cstheme="minorBidi"/>
      <w:kern w:val="2"/>
      <w:sz w:val="18"/>
      <w:szCs w:val="18"/>
    </w:rPr>
  </w:style>
  <w:style w:type="character" w:customStyle="1" w:styleId="14">
    <w:name w:val="批注框文本 Char"/>
    <w:basedOn w:val="11"/>
    <w:link w:val="4"/>
    <w:qFormat/>
    <w:uiPriority w:val="0"/>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 w:type="character" w:customStyle="1" w:styleId="16">
    <w:name w:val="页脚 Char"/>
    <w:basedOn w:val="11"/>
    <w:link w:val="5"/>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12577-BA86-4A68-8D95-0B049FF5DBA5}">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1331</Words>
  <Characters>7588</Characters>
  <Lines>63</Lines>
  <Paragraphs>17</Paragraphs>
  <TotalTime>1</TotalTime>
  <ScaleCrop>false</ScaleCrop>
  <LinksUpToDate>false</LinksUpToDate>
  <CharactersWithSpaces>8902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2024-01-08T07:18:00Z</dcterms:created>
  <dc:creator>hzq</dc:creator>
  <cp:lastModifiedBy>胡聪</cp:lastModifiedBy>
  <cp:lastPrinted>2024-01-09T08:15:00Z</cp:lastPrinted>
  <dcterms:modified xsi:type="dcterms:W3CDTF">2024-01-17T00:15:22Z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881E3BE0DE854E17A6196B8E4E9E9BB5_13</vt:lpwstr>
  </property>
</Properties>
</file>