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附件2</w:t>
      </w:r>
    </w:p>
    <w:p>
      <w:pPr>
        <w:rPr>
          <w:rFonts w:ascii="Times New Roman" w:hAnsi="Times New Roman" w:eastAsia="黑体" w:cs="Times New Roman"/>
          <w:color w:val="000000" w:themeColor="text1"/>
          <w:sz w:val="32"/>
          <w:szCs w:val="32"/>
        </w:rPr>
      </w:pPr>
    </w:p>
    <w:p>
      <w:pPr>
        <w:spacing w:afterLines="50" w:line="58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电力质监机构基本条件考核表</w:t>
      </w:r>
    </w:p>
    <w:tbl>
      <w:tblPr>
        <w:tblStyle w:val="9"/>
        <w:tblpPr w:leftFromText="181" w:rightFromText="181" w:vertAnchor="text" w:horzAnchor="page" w:tblpX="1713" w:tblpY="126"/>
        <w:tblOverlap w:val="never"/>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82"/>
        <w:gridCol w:w="1121"/>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40" w:type="dxa"/>
            <w:noWrap/>
            <w:vAlign w:val="center"/>
          </w:tcPr>
          <w:p>
            <w:pPr>
              <w:pStyle w:val="7"/>
              <w:spacing w:line="100" w:lineRule="atLeast"/>
              <w:ind w:firstLine="0" w:firstLineChars="0"/>
              <w:jc w:val="center"/>
              <w:rPr>
                <w:rFonts w:ascii="Times New Roman" w:eastAsia="黑体"/>
                <w:color w:val="000000" w:themeColor="text1"/>
                <w:sz w:val="21"/>
                <w:szCs w:val="21"/>
              </w:rPr>
            </w:pPr>
            <w:r>
              <w:rPr>
                <w:rFonts w:ascii="Times New Roman" w:eastAsia="黑体"/>
                <w:color w:val="000000" w:themeColor="text1"/>
                <w:sz w:val="21"/>
                <w:szCs w:val="21"/>
              </w:rPr>
              <w:t>序号</w:t>
            </w:r>
          </w:p>
        </w:tc>
        <w:tc>
          <w:tcPr>
            <w:tcW w:w="1082" w:type="dxa"/>
            <w:noWrap/>
            <w:vAlign w:val="center"/>
          </w:tcPr>
          <w:p>
            <w:pPr>
              <w:pStyle w:val="7"/>
              <w:spacing w:line="100" w:lineRule="atLeast"/>
              <w:ind w:firstLine="0" w:firstLineChars="0"/>
              <w:jc w:val="center"/>
              <w:rPr>
                <w:rFonts w:ascii="Times New Roman" w:eastAsia="黑体"/>
                <w:color w:val="000000" w:themeColor="text1"/>
                <w:sz w:val="21"/>
                <w:szCs w:val="21"/>
              </w:rPr>
            </w:pPr>
            <w:r>
              <w:rPr>
                <w:rFonts w:ascii="Times New Roman" w:eastAsia="黑体"/>
                <w:color w:val="000000" w:themeColor="text1"/>
                <w:sz w:val="21"/>
                <w:szCs w:val="21"/>
              </w:rPr>
              <w:t>考核内容</w:t>
            </w:r>
          </w:p>
        </w:tc>
        <w:tc>
          <w:tcPr>
            <w:tcW w:w="1121" w:type="dxa"/>
            <w:noWrap/>
            <w:vAlign w:val="center"/>
          </w:tcPr>
          <w:p>
            <w:pPr>
              <w:pStyle w:val="7"/>
              <w:spacing w:line="100" w:lineRule="atLeast"/>
              <w:ind w:firstLine="0" w:firstLineChars="0"/>
              <w:jc w:val="center"/>
              <w:rPr>
                <w:rFonts w:ascii="Times New Roman" w:eastAsia="黑体"/>
                <w:color w:val="000000" w:themeColor="text1"/>
                <w:sz w:val="21"/>
                <w:szCs w:val="21"/>
              </w:rPr>
            </w:pPr>
            <w:r>
              <w:rPr>
                <w:rFonts w:ascii="Times New Roman" w:eastAsia="黑体"/>
                <w:color w:val="000000" w:themeColor="text1"/>
                <w:sz w:val="21"/>
                <w:szCs w:val="21"/>
              </w:rPr>
              <w:t>标准分值</w:t>
            </w:r>
          </w:p>
        </w:tc>
        <w:tc>
          <w:tcPr>
            <w:tcW w:w="5931" w:type="dxa"/>
            <w:noWrap/>
            <w:vAlign w:val="center"/>
          </w:tcPr>
          <w:p>
            <w:pPr>
              <w:pStyle w:val="7"/>
              <w:spacing w:line="100" w:lineRule="atLeast"/>
              <w:ind w:firstLine="0" w:firstLineChars="0"/>
              <w:jc w:val="center"/>
              <w:rPr>
                <w:rFonts w:ascii="Times New Roman" w:eastAsia="黑体"/>
                <w:color w:val="000000" w:themeColor="text1"/>
                <w:sz w:val="21"/>
                <w:szCs w:val="21"/>
              </w:rPr>
            </w:pPr>
            <w:r>
              <w:rPr>
                <w:rFonts w:ascii="Times New Roman" w:eastAsia="黑体"/>
                <w:color w:val="000000" w:themeColor="text1"/>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740" w:type="dxa"/>
            <w:noWrap/>
            <w:vAlign w:val="center"/>
          </w:tcPr>
          <w:p>
            <w:pPr>
              <w:pStyle w:val="7"/>
              <w:spacing w:line="100" w:lineRule="atLeast"/>
              <w:ind w:firstLine="0" w:firstLineChars="0"/>
              <w:jc w:val="center"/>
              <w:rPr>
                <w:rFonts w:ascii="Times New Roman"/>
                <w:color w:val="000000" w:themeColor="text1"/>
                <w:sz w:val="21"/>
                <w:szCs w:val="21"/>
              </w:rPr>
            </w:pPr>
            <w:r>
              <w:rPr>
                <w:rFonts w:ascii="Times New Roman"/>
                <w:color w:val="000000" w:themeColor="text1"/>
                <w:sz w:val="21"/>
                <w:szCs w:val="21"/>
              </w:rPr>
              <w:t>1</w:t>
            </w:r>
          </w:p>
        </w:tc>
        <w:tc>
          <w:tcPr>
            <w:tcW w:w="1082" w:type="dxa"/>
            <w:noWrap/>
            <w:vAlign w:val="center"/>
          </w:tcPr>
          <w:p>
            <w:pPr>
              <w:pStyle w:val="7"/>
              <w:spacing w:line="100" w:lineRule="atLeast"/>
              <w:ind w:firstLine="0" w:firstLineChars="0"/>
              <w:jc w:val="center"/>
              <w:rPr>
                <w:rFonts w:ascii="Times New Roman"/>
                <w:color w:val="000000" w:themeColor="text1"/>
                <w:sz w:val="21"/>
                <w:szCs w:val="21"/>
              </w:rPr>
            </w:pPr>
            <w:r>
              <w:rPr>
                <w:rFonts w:ascii="Times New Roman"/>
                <w:color w:val="000000" w:themeColor="text1"/>
                <w:sz w:val="21"/>
                <w:szCs w:val="21"/>
              </w:rPr>
              <w:t>机构</w:t>
            </w:r>
          </w:p>
          <w:p>
            <w:pPr>
              <w:pStyle w:val="7"/>
              <w:spacing w:line="100" w:lineRule="atLeast"/>
              <w:ind w:firstLine="0" w:firstLineChars="0"/>
              <w:jc w:val="center"/>
              <w:rPr>
                <w:rFonts w:ascii="Times New Roman"/>
                <w:color w:val="000000" w:themeColor="text1"/>
                <w:sz w:val="21"/>
                <w:szCs w:val="21"/>
              </w:rPr>
            </w:pPr>
            <w:r>
              <w:rPr>
                <w:rFonts w:ascii="Times New Roman"/>
                <w:color w:val="000000" w:themeColor="text1"/>
                <w:sz w:val="21"/>
                <w:szCs w:val="21"/>
              </w:rPr>
              <w:t>性质</w:t>
            </w:r>
          </w:p>
        </w:tc>
        <w:tc>
          <w:tcPr>
            <w:tcW w:w="1121" w:type="dxa"/>
            <w:noWrap/>
            <w:vAlign w:val="center"/>
          </w:tcPr>
          <w:p>
            <w:pPr>
              <w:pStyle w:val="7"/>
              <w:spacing w:line="100" w:lineRule="atLeast"/>
              <w:ind w:firstLine="0" w:firstLineChars="0"/>
              <w:jc w:val="center"/>
              <w:rPr>
                <w:rFonts w:ascii="Times New Roman"/>
                <w:color w:val="000000" w:themeColor="text1"/>
                <w:sz w:val="21"/>
                <w:szCs w:val="21"/>
              </w:rPr>
            </w:pPr>
            <w:r>
              <w:rPr>
                <w:rFonts w:ascii="Times New Roman"/>
                <w:color w:val="000000" w:themeColor="text1"/>
                <w:sz w:val="21"/>
                <w:szCs w:val="21"/>
              </w:rPr>
              <w:t>10</w:t>
            </w:r>
          </w:p>
        </w:tc>
        <w:tc>
          <w:tcPr>
            <w:tcW w:w="5931" w:type="dxa"/>
            <w:noWrap/>
            <w:vAlign w:val="center"/>
          </w:tcPr>
          <w:p>
            <w:pPr>
              <w:widowControl/>
              <w:spacing w:line="100" w:lineRule="atLeast"/>
              <w:jc w:val="left"/>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不具备独立法人资格，也不是由法人设立的独立专职机构扣10分。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40" w:type="dxa"/>
            <w:noWrap/>
            <w:vAlign w:val="center"/>
          </w:tcPr>
          <w:p>
            <w:pPr>
              <w:pStyle w:val="7"/>
              <w:spacing w:line="100" w:lineRule="atLeast"/>
              <w:ind w:firstLine="0" w:firstLineChars="0"/>
              <w:jc w:val="center"/>
              <w:rPr>
                <w:rFonts w:ascii="Times New Roman"/>
                <w:color w:val="000000" w:themeColor="text1"/>
                <w:sz w:val="21"/>
                <w:szCs w:val="21"/>
              </w:rPr>
            </w:pPr>
            <w:r>
              <w:rPr>
                <w:rFonts w:ascii="Times New Roman"/>
                <w:color w:val="000000" w:themeColor="text1"/>
                <w:sz w:val="21"/>
                <w:szCs w:val="21"/>
              </w:rPr>
              <w:t>2</w:t>
            </w:r>
          </w:p>
        </w:tc>
        <w:tc>
          <w:tcPr>
            <w:tcW w:w="1082" w:type="dxa"/>
            <w:noWrap/>
            <w:vAlign w:val="center"/>
          </w:tcPr>
          <w:p>
            <w:pPr>
              <w:pStyle w:val="7"/>
              <w:spacing w:line="100" w:lineRule="atLeast"/>
              <w:ind w:firstLine="0" w:firstLineChars="0"/>
              <w:jc w:val="center"/>
              <w:rPr>
                <w:rFonts w:ascii="Times New Roman"/>
                <w:color w:val="000000" w:themeColor="text1"/>
                <w:sz w:val="21"/>
                <w:szCs w:val="21"/>
              </w:rPr>
            </w:pPr>
            <w:r>
              <w:rPr>
                <w:rFonts w:ascii="Times New Roman"/>
                <w:color w:val="000000" w:themeColor="text1"/>
                <w:sz w:val="21"/>
                <w:szCs w:val="21"/>
              </w:rPr>
              <w:t>工作</w:t>
            </w:r>
          </w:p>
          <w:p>
            <w:pPr>
              <w:pStyle w:val="7"/>
              <w:spacing w:line="100" w:lineRule="atLeast"/>
              <w:ind w:firstLine="0" w:firstLineChars="0"/>
              <w:jc w:val="center"/>
              <w:rPr>
                <w:rFonts w:ascii="Times New Roman"/>
                <w:color w:val="000000" w:themeColor="text1"/>
                <w:sz w:val="21"/>
                <w:szCs w:val="21"/>
              </w:rPr>
            </w:pPr>
            <w:r>
              <w:rPr>
                <w:rFonts w:ascii="Times New Roman"/>
                <w:color w:val="000000" w:themeColor="text1"/>
                <w:sz w:val="21"/>
                <w:szCs w:val="21"/>
              </w:rPr>
              <w:t>经费</w:t>
            </w:r>
          </w:p>
        </w:tc>
        <w:tc>
          <w:tcPr>
            <w:tcW w:w="1121" w:type="dxa"/>
            <w:noWrap/>
            <w:vAlign w:val="center"/>
          </w:tcPr>
          <w:p>
            <w:pPr>
              <w:pStyle w:val="5"/>
              <w:spacing w:line="100" w:lineRule="atLeast"/>
              <w:jc w:val="center"/>
              <w:rPr>
                <w:rFonts w:ascii="Times New Roman" w:hAnsi="Times New Roman" w:eastAsia="仿宋_GB2312"/>
                <w:color w:val="000000" w:themeColor="text1"/>
                <w:sz w:val="21"/>
                <w:szCs w:val="21"/>
              </w:rPr>
            </w:pPr>
            <w:r>
              <w:rPr>
                <w:rFonts w:ascii="Times New Roman" w:hAnsi="Times New Roman" w:eastAsia="仿宋_GB2312"/>
                <w:color w:val="000000" w:themeColor="text1"/>
                <w:sz w:val="21"/>
                <w:szCs w:val="21"/>
              </w:rPr>
              <w:t>20</w:t>
            </w:r>
          </w:p>
        </w:tc>
        <w:tc>
          <w:tcPr>
            <w:tcW w:w="5931" w:type="dxa"/>
            <w:noWrap/>
            <w:vAlign w:val="center"/>
          </w:tcPr>
          <w:p>
            <w:pPr>
              <w:widowControl/>
              <w:spacing w:line="100" w:lineRule="atLeast"/>
              <w:jc w:val="left"/>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专职工作人员经费无保障扣5分，外聘专家经费无保障扣5分，差旅费无保障扣5分，车辆、抽检抽测等经费无保障扣5分</w:t>
            </w:r>
            <w:r>
              <w:rPr>
                <w:rFonts w:ascii="Times New Roman" w:hAnsi="Times New Roman" w:eastAsia="仿宋_GB2312" w:cs="Times New Roman"/>
                <w:color w:val="000000" w:themeColor="text1"/>
                <w:spacing w:val="-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740" w:type="dxa"/>
            <w:vMerge w:val="restart"/>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w:t>
            </w:r>
          </w:p>
        </w:tc>
        <w:tc>
          <w:tcPr>
            <w:tcW w:w="1082" w:type="dxa"/>
            <w:vMerge w:val="restart"/>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人员</w:t>
            </w:r>
          </w:p>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配备</w:t>
            </w:r>
          </w:p>
        </w:tc>
        <w:tc>
          <w:tcPr>
            <w:tcW w:w="1121" w:type="dxa"/>
            <w:noWrap/>
            <w:vAlign w:val="center"/>
          </w:tcPr>
          <w:p>
            <w:pPr>
              <w:pStyle w:val="3"/>
              <w:spacing w:after="0" w:line="100" w:lineRule="atLeast"/>
              <w:ind w:left="0" w:leftChars="0"/>
              <w:jc w:val="center"/>
              <w:rPr>
                <w:rFonts w:ascii="Times New Roman" w:hAnsi="Times New Roman" w:eastAsia="仿宋_GB2312" w:cs="Times New Roman"/>
                <w:color w:val="000000" w:themeColor="text1"/>
                <w:spacing w:val="-12"/>
                <w:szCs w:val="21"/>
              </w:rPr>
            </w:pPr>
            <w:r>
              <w:rPr>
                <w:rFonts w:ascii="Times New Roman" w:hAnsi="Times New Roman" w:eastAsia="仿宋_GB2312" w:cs="Times New Roman"/>
                <w:color w:val="000000" w:themeColor="text1"/>
                <w:spacing w:val="-12"/>
                <w:szCs w:val="21"/>
              </w:rPr>
              <w:t>10</w:t>
            </w:r>
          </w:p>
        </w:tc>
        <w:tc>
          <w:tcPr>
            <w:tcW w:w="5931" w:type="dxa"/>
            <w:noWrap/>
            <w:vAlign w:val="center"/>
          </w:tcPr>
          <w:p>
            <w:pPr>
              <w:widowControl/>
              <w:spacing w:line="100" w:lineRule="atLeast"/>
              <w:jc w:val="left"/>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专职负责人配备不符合要求扣10分。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740" w:type="dxa"/>
            <w:vMerge w:val="continue"/>
            <w:noWrap/>
            <w:vAlign w:val="center"/>
          </w:tcPr>
          <w:p>
            <w:pPr>
              <w:spacing w:line="100" w:lineRule="atLeast"/>
              <w:jc w:val="center"/>
              <w:rPr>
                <w:rFonts w:ascii="Times New Roman" w:hAnsi="Times New Roman" w:eastAsia="仿宋_GB2312" w:cs="Times New Roman"/>
                <w:color w:val="000000" w:themeColor="text1"/>
                <w:szCs w:val="21"/>
              </w:rPr>
            </w:pPr>
          </w:p>
        </w:tc>
        <w:tc>
          <w:tcPr>
            <w:tcW w:w="1082" w:type="dxa"/>
            <w:vMerge w:val="continue"/>
            <w:noWrap/>
            <w:vAlign w:val="center"/>
          </w:tcPr>
          <w:p>
            <w:pPr>
              <w:spacing w:line="100" w:lineRule="atLeast"/>
              <w:rPr>
                <w:rFonts w:ascii="Times New Roman" w:hAnsi="Times New Roman" w:eastAsia="仿宋_GB2312" w:cs="Times New Roman"/>
                <w:color w:val="000000" w:themeColor="text1"/>
                <w:spacing w:val="-12"/>
                <w:szCs w:val="21"/>
              </w:rPr>
            </w:pPr>
          </w:p>
        </w:tc>
        <w:tc>
          <w:tcPr>
            <w:tcW w:w="1121" w:type="dxa"/>
            <w:noWrap/>
            <w:vAlign w:val="center"/>
          </w:tcPr>
          <w:p>
            <w:pPr>
              <w:spacing w:line="100" w:lineRule="atLeast"/>
              <w:jc w:val="center"/>
              <w:rPr>
                <w:rFonts w:ascii="Times New Roman" w:hAnsi="Times New Roman" w:eastAsia="仿宋_GB2312" w:cs="Times New Roman"/>
                <w:color w:val="000000" w:themeColor="text1"/>
                <w:spacing w:val="-12"/>
                <w:szCs w:val="21"/>
              </w:rPr>
            </w:pPr>
            <w:r>
              <w:rPr>
                <w:rFonts w:ascii="Times New Roman" w:hAnsi="Times New Roman" w:eastAsia="仿宋_GB2312" w:cs="Times New Roman"/>
                <w:color w:val="000000" w:themeColor="text1"/>
                <w:spacing w:val="-12"/>
                <w:szCs w:val="21"/>
              </w:rPr>
              <w:t>15</w:t>
            </w:r>
          </w:p>
        </w:tc>
        <w:tc>
          <w:tcPr>
            <w:tcW w:w="5931" w:type="dxa"/>
            <w:noWrap/>
            <w:vAlign w:val="center"/>
          </w:tcPr>
          <w:p>
            <w:pPr>
              <w:widowControl/>
              <w:spacing w:line="100" w:lineRule="atLeast"/>
              <w:jc w:val="left"/>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抽查《电力建设工程质量监督管理暂行规定》印发后开展现场质量监督检查的工程，现场检查组组长或带队人员不是专职工作人员，或质量监督专业人员不符合相关管理要求，每发现一例扣3分。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740" w:type="dxa"/>
            <w:vMerge w:val="continue"/>
            <w:noWrap/>
            <w:vAlign w:val="center"/>
          </w:tcPr>
          <w:p>
            <w:pPr>
              <w:spacing w:line="100" w:lineRule="atLeast"/>
              <w:jc w:val="center"/>
              <w:rPr>
                <w:rFonts w:ascii="Times New Roman" w:hAnsi="Times New Roman" w:eastAsia="仿宋_GB2312" w:cs="Times New Roman"/>
                <w:color w:val="000000" w:themeColor="text1"/>
                <w:szCs w:val="21"/>
              </w:rPr>
            </w:pPr>
          </w:p>
        </w:tc>
        <w:tc>
          <w:tcPr>
            <w:tcW w:w="1082" w:type="dxa"/>
            <w:vMerge w:val="continue"/>
            <w:noWrap/>
            <w:vAlign w:val="center"/>
          </w:tcPr>
          <w:p>
            <w:pPr>
              <w:spacing w:line="100" w:lineRule="atLeast"/>
              <w:rPr>
                <w:rFonts w:ascii="Times New Roman" w:hAnsi="Times New Roman" w:eastAsia="仿宋_GB2312" w:cs="Times New Roman"/>
                <w:color w:val="000000" w:themeColor="text1"/>
                <w:spacing w:val="-12"/>
                <w:szCs w:val="21"/>
              </w:rPr>
            </w:pPr>
          </w:p>
        </w:tc>
        <w:tc>
          <w:tcPr>
            <w:tcW w:w="1121" w:type="dxa"/>
            <w:noWrap/>
            <w:vAlign w:val="center"/>
          </w:tcPr>
          <w:p>
            <w:pPr>
              <w:spacing w:line="100" w:lineRule="atLeast"/>
              <w:jc w:val="center"/>
              <w:rPr>
                <w:rFonts w:ascii="Times New Roman" w:hAnsi="Times New Roman" w:eastAsia="仿宋_GB2312" w:cs="Times New Roman"/>
                <w:color w:val="000000" w:themeColor="text1"/>
                <w:spacing w:val="-12"/>
                <w:szCs w:val="21"/>
              </w:rPr>
            </w:pPr>
            <w:r>
              <w:rPr>
                <w:rFonts w:ascii="Times New Roman" w:hAnsi="Times New Roman" w:eastAsia="仿宋_GB2312" w:cs="Times New Roman"/>
                <w:color w:val="000000" w:themeColor="text1"/>
                <w:spacing w:val="-12"/>
                <w:szCs w:val="21"/>
              </w:rPr>
              <w:t>5</w:t>
            </w:r>
          </w:p>
        </w:tc>
        <w:tc>
          <w:tcPr>
            <w:tcW w:w="5931" w:type="dxa"/>
            <w:noWrap/>
            <w:vAlign w:val="center"/>
          </w:tcPr>
          <w:p>
            <w:pPr>
              <w:widowControl/>
              <w:spacing w:line="100" w:lineRule="atLeast"/>
              <w:jc w:val="left"/>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专职工作人员专业结构与质量监督工程类别不相适应扣5分，基本适应扣2分。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40" w:type="dxa"/>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4</w:t>
            </w:r>
          </w:p>
        </w:tc>
        <w:tc>
          <w:tcPr>
            <w:tcW w:w="1082" w:type="dxa"/>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办公</w:t>
            </w:r>
          </w:p>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场所</w:t>
            </w:r>
          </w:p>
        </w:tc>
        <w:tc>
          <w:tcPr>
            <w:tcW w:w="1121" w:type="dxa"/>
            <w:noWrap/>
            <w:vAlign w:val="center"/>
          </w:tcPr>
          <w:p>
            <w:pPr>
              <w:pStyle w:val="3"/>
              <w:spacing w:after="0" w:line="100" w:lineRule="atLeast"/>
              <w:ind w:left="0" w:leftChars="0"/>
              <w:jc w:val="center"/>
              <w:rPr>
                <w:rFonts w:ascii="Times New Roman" w:hAnsi="Times New Roman" w:eastAsia="仿宋_GB2312" w:cs="Times New Roman"/>
                <w:color w:val="000000" w:themeColor="text1"/>
                <w:spacing w:val="-12"/>
                <w:szCs w:val="21"/>
              </w:rPr>
            </w:pPr>
            <w:r>
              <w:rPr>
                <w:rFonts w:ascii="Times New Roman" w:hAnsi="Times New Roman" w:eastAsia="仿宋_GB2312" w:cs="Times New Roman"/>
                <w:color w:val="000000" w:themeColor="text1"/>
                <w:spacing w:val="-12"/>
                <w:szCs w:val="21"/>
              </w:rPr>
              <w:t>10</w:t>
            </w:r>
          </w:p>
        </w:tc>
        <w:tc>
          <w:tcPr>
            <w:tcW w:w="5931" w:type="dxa"/>
            <w:noWrap/>
            <w:vAlign w:val="center"/>
          </w:tcPr>
          <w:p>
            <w:pPr>
              <w:widowControl/>
              <w:spacing w:line="100" w:lineRule="atLeast"/>
              <w:jc w:val="left"/>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办公场所不独立的扣5分，无法满足日常办公需要的扣10分。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740" w:type="dxa"/>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5</w:t>
            </w:r>
          </w:p>
        </w:tc>
        <w:tc>
          <w:tcPr>
            <w:tcW w:w="1082" w:type="dxa"/>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检测</w:t>
            </w:r>
          </w:p>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仪器</w:t>
            </w:r>
          </w:p>
        </w:tc>
        <w:tc>
          <w:tcPr>
            <w:tcW w:w="1121" w:type="dxa"/>
            <w:noWrap/>
            <w:vAlign w:val="center"/>
          </w:tcPr>
          <w:p>
            <w:pPr>
              <w:pStyle w:val="3"/>
              <w:spacing w:after="0" w:line="100" w:lineRule="atLeast"/>
              <w:ind w:left="0" w:leftChars="0"/>
              <w:jc w:val="center"/>
              <w:rPr>
                <w:rFonts w:ascii="Times New Roman" w:hAnsi="Times New Roman" w:eastAsia="仿宋_GB2312" w:cs="Times New Roman"/>
                <w:color w:val="000000" w:themeColor="text1"/>
                <w:spacing w:val="-12"/>
                <w:szCs w:val="21"/>
              </w:rPr>
            </w:pPr>
            <w:r>
              <w:rPr>
                <w:rFonts w:ascii="Times New Roman" w:hAnsi="Times New Roman" w:eastAsia="仿宋_GB2312" w:cs="Times New Roman"/>
                <w:color w:val="000000" w:themeColor="text1"/>
                <w:spacing w:val="-12"/>
                <w:szCs w:val="21"/>
              </w:rPr>
              <w:t>5</w:t>
            </w:r>
          </w:p>
        </w:tc>
        <w:tc>
          <w:tcPr>
            <w:tcW w:w="5931" w:type="dxa"/>
            <w:noWrap/>
            <w:vAlign w:val="center"/>
          </w:tcPr>
          <w:p>
            <w:pP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检测仪器设备满足工程质量监督检查工作需要，并检定合格不扣分；基本满足工程质量监督检查工作需要，并检定合格扣2分；基本满足工程质量监督检查工作需要，但未按要求进行检定扣3分；不满足工程质量监督检查工作需要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740" w:type="dxa"/>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6</w:t>
            </w:r>
          </w:p>
        </w:tc>
        <w:tc>
          <w:tcPr>
            <w:tcW w:w="1082" w:type="dxa"/>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制度</w:t>
            </w:r>
          </w:p>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建设</w:t>
            </w:r>
          </w:p>
        </w:tc>
        <w:tc>
          <w:tcPr>
            <w:tcW w:w="1121" w:type="dxa"/>
            <w:noWrap/>
            <w:vAlign w:val="center"/>
          </w:tcPr>
          <w:p>
            <w:pPr>
              <w:pStyle w:val="3"/>
              <w:spacing w:after="0" w:line="100" w:lineRule="atLeast"/>
              <w:ind w:left="0" w:leftChars="0"/>
              <w:jc w:val="center"/>
              <w:rPr>
                <w:rFonts w:ascii="Times New Roman" w:hAnsi="Times New Roman" w:eastAsia="仿宋_GB2312" w:cs="Times New Roman"/>
                <w:color w:val="000000" w:themeColor="text1"/>
                <w:spacing w:val="-12"/>
                <w:szCs w:val="21"/>
              </w:rPr>
            </w:pPr>
            <w:r>
              <w:rPr>
                <w:rFonts w:ascii="Times New Roman" w:hAnsi="Times New Roman" w:eastAsia="仿宋_GB2312" w:cs="Times New Roman"/>
                <w:color w:val="000000" w:themeColor="text1"/>
                <w:spacing w:val="-12"/>
                <w:szCs w:val="21"/>
              </w:rPr>
              <w:t>10</w:t>
            </w:r>
          </w:p>
        </w:tc>
        <w:tc>
          <w:tcPr>
            <w:tcW w:w="5931" w:type="dxa"/>
            <w:noWrap/>
            <w:vAlign w:val="center"/>
          </w:tcPr>
          <w:p>
            <w:pPr>
              <w:pStyle w:val="8"/>
              <w:spacing w:before="0" w:beforeAutospacing="0" w:after="0" w:afterAutospacing="0" w:line="100" w:lineRule="atLeast"/>
              <w:rPr>
                <w:rFonts w:ascii="Times New Roman" w:hAnsi="Times New Roman" w:eastAsia="仿宋_GB2312"/>
                <w:color w:val="000000" w:themeColor="text1"/>
                <w:sz w:val="21"/>
                <w:szCs w:val="21"/>
              </w:rPr>
            </w:pPr>
            <w:r>
              <w:rPr>
                <w:rFonts w:ascii="Times New Roman" w:hAnsi="Times New Roman" w:eastAsia="仿宋_GB2312"/>
                <w:color w:val="000000" w:themeColor="text1"/>
                <w:kern w:val="2"/>
                <w:sz w:val="21"/>
                <w:szCs w:val="21"/>
              </w:rPr>
              <w:t>人事（含岗位职责）、分支机构考核、专家、公文、会议、财务、档案、信息、廉洁、投诉举报管理等制度，每缺失1个扣1分</w:t>
            </w:r>
            <w:r>
              <w:rPr>
                <w:rFonts w:ascii="Times New Roman" w:hAnsi="Times New Roman" w:eastAsia="仿宋_GB2312"/>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3" w:hRule="atLeast"/>
        </w:trPr>
        <w:tc>
          <w:tcPr>
            <w:tcW w:w="740" w:type="dxa"/>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7</w:t>
            </w:r>
          </w:p>
        </w:tc>
        <w:tc>
          <w:tcPr>
            <w:tcW w:w="1082" w:type="dxa"/>
            <w:noWrap/>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信息化</w:t>
            </w:r>
          </w:p>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建设</w:t>
            </w:r>
          </w:p>
        </w:tc>
        <w:tc>
          <w:tcPr>
            <w:tcW w:w="1121" w:type="dxa"/>
            <w:noWrap/>
            <w:vAlign w:val="center"/>
          </w:tcPr>
          <w:p>
            <w:pPr>
              <w:pStyle w:val="3"/>
              <w:spacing w:after="0" w:line="100" w:lineRule="atLeast"/>
              <w:ind w:left="0" w:leftChars="0"/>
              <w:jc w:val="center"/>
              <w:rPr>
                <w:rFonts w:ascii="Times New Roman" w:hAnsi="Times New Roman" w:eastAsia="仿宋_GB2312" w:cs="Times New Roman"/>
                <w:color w:val="000000" w:themeColor="text1"/>
                <w:spacing w:val="-12"/>
                <w:szCs w:val="21"/>
              </w:rPr>
            </w:pPr>
            <w:r>
              <w:rPr>
                <w:rFonts w:ascii="Times New Roman" w:hAnsi="Times New Roman" w:eastAsia="仿宋_GB2312" w:cs="Times New Roman"/>
                <w:color w:val="000000" w:themeColor="text1"/>
                <w:spacing w:val="-12"/>
                <w:szCs w:val="21"/>
              </w:rPr>
              <w:t>15</w:t>
            </w:r>
          </w:p>
        </w:tc>
        <w:tc>
          <w:tcPr>
            <w:tcW w:w="5931" w:type="dxa"/>
            <w:noWrap/>
            <w:vAlign w:val="center"/>
          </w:tcPr>
          <w:p>
            <w:pPr>
              <w:widowControl/>
              <w:spacing w:line="100" w:lineRule="atLeast"/>
              <w:jc w:val="left"/>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全面依托电力质监信息系统开展工作不扣分；依托自建系统向电力质监信息系统自动报送相关工作信息，且信息准确、及时、完整不扣分；依托自建系统向电力质监信息系统人工导入相关工作信息，且信息准确、完整，满足时限要求扣5分；依托自建系统向电力质监信息系统报送相关工作信息，信息基本准确、完整，满足时限要求，但存在个别缺失扣10分；依托自建系统向电力质监信息系统报送相关工作信息，信息缺失较多的扣15分。</w:t>
            </w:r>
          </w:p>
        </w:tc>
      </w:tr>
    </w:tbl>
    <w:p>
      <w:pPr>
        <w:spacing w:line="300" w:lineRule="exact"/>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说明：</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1.考核周期内，国家能源局电力安全监管司、派出机构、可靠性和质监中心、省级电力管理部门对电力质监机构日常监督指导意见落实情况纳入考核内容，相关问题在对应项中进行评分。</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2</w:t>
      </w:r>
      <w:r>
        <w:rPr>
          <w:rFonts w:hint="eastAsia" w:ascii="Times New Roman" w:hAnsi="Times New Roman" w:eastAsia="楷体_GB2312" w:cs="Times New Roman"/>
          <w:color w:val="000000" w:themeColor="text1"/>
          <w:szCs w:val="21"/>
          <w:lang w:val="en-US" w:eastAsia="zh-CN"/>
        </w:rPr>
        <w:t>.</w:t>
      </w:r>
      <w:r>
        <w:rPr>
          <w:rFonts w:ascii="Times New Roman" w:hAnsi="Times New Roman" w:eastAsia="楷体_GB2312" w:cs="Times New Roman"/>
          <w:color w:val="000000" w:themeColor="text1"/>
          <w:szCs w:val="21"/>
        </w:rPr>
        <w:t>随机抽取考核周期内实施质量监督的5个工程（如有规模以下工程，其中需有1个工程从规模以下工程中抽取）进行资料检查。如考核周期内实施质量监督的工程数量不足5个时，抽查全部工程，并按比例调整分值。如考核周期内没有需要实施质量监督的工程，相应考核项不扣分。</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3.每项考核内容的扣分总数不得超过标准分值。</w:t>
      </w:r>
    </w:p>
    <w:p>
      <w:pPr>
        <w:spacing w:line="300" w:lineRule="exact"/>
        <w:ind w:firstLine="420" w:firstLineChars="200"/>
        <w:rPr>
          <w:rFonts w:ascii="Times New Roman" w:hAnsi="Times New Roman" w:eastAsia="楷体_GB2312" w:cs="Times New Roman"/>
          <w:color w:val="000000" w:themeColor="text1"/>
          <w:szCs w:val="21"/>
        </w:rPr>
      </w:pPr>
      <w:bookmarkStart w:id="0" w:name="_GoBack"/>
      <w:bookmarkEnd w:id="0"/>
    </w:p>
    <w:sectPr>
      <w:footerReference r:id="rId3" w:type="default"/>
      <w:pgSz w:w="11906" w:h="16838"/>
      <w:pgMar w:top="2098" w:right="1474" w:bottom="1984" w:left="1587"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4"/>
        <w:szCs w:val="24"/>
      </w:rPr>
    </w:pPr>
    <w:r>
      <w:rPr>
        <w:sz w:val="24"/>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99923058"/>
                </w:sdtPr>
                <w:sdtEndPr>
                  <w:rPr>
                    <w:rFonts w:ascii="宋体" w:hAnsi="宋体"/>
                    <w:sz w:val="24"/>
                    <w:szCs w:val="24"/>
                  </w:rPr>
                </w:sdtEndPr>
                <w:sdtContent>
                  <w:p>
                    <w:pPr>
                      <w:pStyle w:val="5"/>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7</w:t>
                    </w:r>
                    <w:r>
                      <w:rPr>
                        <w:rFonts w:ascii="宋体" w:hAnsi="宋体"/>
                        <w:sz w:val="24"/>
                        <w:szCs w:val="24"/>
                      </w:rPr>
                      <w:fldChar w:fldCharType="end"/>
                    </w:r>
                  </w:p>
                </w:sdtContent>
              </w:sdt>
              <w:p>
                <w:pPr>
                  <w:rPr>
                    <w:rFonts w:ascii="宋体" w:hAnsi="宋体"/>
                    <w:sz w:val="24"/>
                    <w:szCs w:val="24"/>
                  </w:rPr>
                </w:pP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xYmIyZDBlYzQ2NmM2ZWMwZmNlNWIyOTU2MDU4MGQifQ=="/>
  </w:docVars>
  <w:rsids>
    <w:rsidRoot w:val="7B795A54"/>
    <w:rsid w:val="00003157"/>
    <w:rsid w:val="00011AF5"/>
    <w:rsid w:val="000255A3"/>
    <w:rsid w:val="000323C6"/>
    <w:rsid w:val="00045158"/>
    <w:rsid w:val="000517D1"/>
    <w:rsid w:val="000660DA"/>
    <w:rsid w:val="000746C8"/>
    <w:rsid w:val="00081377"/>
    <w:rsid w:val="00084361"/>
    <w:rsid w:val="00086EC0"/>
    <w:rsid w:val="000A74AE"/>
    <w:rsid w:val="000A7885"/>
    <w:rsid w:val="000B0693"/>
    <w:rsid w:val="000B4ECE"/>
    <w:rsid w:val="000B68B2"/>
    <w:rsid w:val="000C301B"/>
    <w:rsid w:val="000D08AD"/>
    <w:rsid w:val="000E1FBE"/>
    <w:rsid w:val="000E7739"/>
    <w:rsid w:val="000F0EBC"/>
    <w:rsid w:val="000F11C8"/>
    <w:rsid w:val="001075ED"/>
    <w:rsid w:val="00112E30"/>
    <w:rsid w:val="0011503A"/>
    <w:rsid w:val="00116432"/>
    <w:rsid w:val="00117780"/>
    <w:rsid w:val="00124B4E"/>
    <w:rsid w:val="0015019E"/>
    <w:rsid w:val="00155E7B"/>
    <w:rsid w:val="001604F7"/>
    <w:rsid w:val="0016064E"/>
    <w:rsid w:val="00163DF4"/>
    <w:rsid w:val="00182844"/>
    <w:rsid w:val="001870CC"/>
    <w:rsid w:val="001A65F4"/>
    <w:rsid w:val="001B26F2"/>
    <w:rsid w:val="001B7524"/>
    <w:rsid w:val="001D4CC3"/>
    <w:rsid w:val="001D76BB"/>
    <w:rsid w:val="001F579F"/>
    <w:rsid w:val="00230066"/>
    <w:rsid w:val="00244C02"/>
    <w:rsid w:val="002528D9"/>
    <w:rsid w:val="0025769E"/>
    <w:rsid w:val="00270102"/>
    <w:rsid w:val="00272FAF"/>
    <w:rsid w:val="00285CC4"/>
    <w:rsid w:val="002A7EAC"/>
    <w:rsid w:val="002B6EFB"/>
    <w:rsid w:val="00301E45"/>
    <w:rsid w:val="00303B46"/>
    <w:rsid w:val="0032184E"/>
    <w:rsid w:val="003251B4"/>
    <w:rsid w:val="00326C8B"/>
    <w:rsid w:val="0033551C"/>
    <w:rsid w:val="00336BE1"/>
    <w:rsid w:val="00343FDE"/>
    <w:rsid w:val="00356BEE"/>
    <w:rsid w:val="00375111"/>
    <w:rsid w:val="00391254"/>
    <w:rsid w:val="00395857"/>
    <w:rsid w:val="003B1F07"/>
    <w:rsid w:val="003B3FED"/>
    <w:rsid w:val="003C0B72"/>
    <w:rsid w:val="003D2CF8"/>
    <w:rsid w:val="003F1478"/>
    <w:rsid w:val="00420DBA"/>
    <w:rsid w:val="004215EB"/>
    <w:rsid w:val="004450FB"/>
    <w:rsid w:val="00447112"/>
    <w:rsid w:val="00472A3A"/>
    <w:rsid w:val="00474D9A"/>
    <w:rsid w:val="0049142D"/>
    <w:rsid w:val="0049178D"/>
    <w:rsid w:val="004A18F6"/>
    <w:rsid w:val="004A2DC2"/>
    <w:rsid w:val="004A5305"/>
    <w:rsid w:val="004B61B5"/>
    <w:rsid w:val="004C2F77"/>
    <w:rsid w:val="004D1BF4"/>
    <w:rsid w:val="004D3D18"/>
    <w:rsid w:val="004D5B03"/>
    <w:rsid w:val="004D706D"/>
    <w:rsid w:val="004E2E33"/>
    <w:rsid w:val="004E36BD"/>
    <w:rsid w:val="004F280A"/>
    <w:rsid w:val="004F3FFC"/>
    <w:rsid w:val="004F51FC"/>
    <w:rsid w:val="00520742"/>
    <w:rsid w:val="0052163B"/>
    <w:rsid w:val="0052288B"/>
    <w:rsid w:val="005256E5"/>
    <w:rsid w:val="00525CB2"/>
    <w:rsid w:val="0054061F"/>
    <w:rsid w:val="0054250D"/>
    <w:rsid w:val="00544845"/>
    <w:rsid w:val="00555EAC"/>
    <w:rsid w:val="00557468"/>
    <w:rsid w:val="005650CE"/>
    <w:rsid w:val="0056782D"/>
    <w:rsid w:val="00572D27"/>
    <w:rsid w:val="0058746A"/>
    <w:rsid w:val="005A1575"/>
    <w:rsid w:val="005A79A1"/>
    <w:rsid w:val="005B2324"/>
    <w:rsid w:val="005E0939"/>
    <w:rsid w:val="005F28C1"/>
    <w:rsid w:val="005F3957"/>
    <w:rsid w:val="0061251B"/>
    <w:rsid w:val="0062260D"/>
    <w:rsid w:val="00634893"/>
    <w:rsid w:val="00645394"/>
    <w:rsid w:val="00646FC0"/>
    <w:rsid w:val="006730E7"/>
    <w:rsid w:val="006926F1"/>
    <w:rsid w:val="00694C8D"/>
    <w:rsid w:val="006A1168"/>
    <w:rsid w:val="006A78B8"/>
    <w:rsid w:val="006B205C"/>
    <w:rsid w:val="006B47D1"/>
    <w:rsid w:val="006C054A"/>
    <w:rsid w:val="006C21EB"/>
    <w:rsid w:val="006C632C"/>
    <w:rsid w:val="006E22CC"/>
    <w:rsid w:val="006E54CE"/>
    <w:rsid w:val="006F37B4"/>
    <w:rsid w:val="006F5CB8"/>
    <w:rsid w:val="007043B3"/>
    <w:rsid w:val="00710D97"/>
    <w:rsid w:val="00721452"/>
    <w:rsid w:val="00744B9B"/>
    <w:rsid w:val="0075293E"/>
    <w:rsid w:val="007535EA"/>
    <w:rsid w:val="00754206"/>
    <w:rsid w:val="00763A5E"/>
    <w:rsid w:val="00766248"/>
    <w:rsid w:val="00774DFA"/>
    <w:rsid w:val="00780FF7"/>
    <w:rsid w:val="0079700D"/>
    <w:rsid w:val="007A0400"/>
    <w:rsid w:val="007A17D0"/>
    <w:rsid w:val="007A78C4"/>
    <w:rsid w:val="007C66DC"/>
    <w:rsid w:val="007D490A"/>
    <w:rsid w:val="007F2B58"/>
    <w:rsid w:val="007F4C91"/>
    <w:rsid w:val="00803F2D"/>
    <w:rsid w:val="00820AAA"/>
    <w:rsid w:val="00821C68"/>
    <w:rsid w:val="008227A6"/>
    <w:rsid w:val="00862CD3"/>
    <w:rsid w:val="00867FC6"/>
    <w:rsid w:val="008743C5"/>
    <w:rsid w:val="00874DE3"/>
    <w:rsid w:val="0087547A"/>
    <w:rsid w:val="008822CC"/>
    <w:rsid w:val="00885779"/>
    <w:rsid w:val="00892DA5"/>
    <w:rsid w:val="00893A8F"/>
    <w:rsid w:val="008A14A9"/>
    <w:rsid w:val="008A282E"/>
    <w:rsid w:val="008A6693"/>
    <w:rsid w:val="008A7BD4"/>
    <w:rsid w:val="008B5200"/>
    <w:rsid w:val="008B561F"/>
    <w:rsid w:val="008C64B1"/>
    <w:rsid w:val="009010F1"/>
    <w:rsid w:val="00904D30"/>
    <w:rsid w:val="00906CEE"/>
    <w:rsid w:val="0092665A"/>
    <w:rsid w:val="00932B73"/>
    <w:rsid w:val="0093385C"/>
    <w:rsid w:val="0094263E"/>
    <w:rsid w:val="009452EA"/>
    <w:rsid w:val="00953647"/>
    <w:rsid w:val="0096629B"/>
    <w:rsid w:val="009703D6"/>
    <w:rsid w:val="00997E20"/>
    <w:rsid w:val="009C0824"/>
    <w:rsid w:val="009F3D98"/>
    <w:rsid w:val="00A06EC4"/>
    <w:rsid w:val="00A10DB3"/>
    <w:rsid w:val="00A1655D"/>
    <w:rsid w:val="00A2403E"/>
    <w:rsid w:val="00A33E63"/>
    <w:rsid w:val="00A525ED"/>
    <w:rsid w:val="00A53702"/>
    <w:rsid w:val="00A72A0D"/>
    <w:rsid w:val="00A74387"/>
    <w:rsid w:val="00A85639"/>
    <w:rsid w:val="00A93511"/>
    <w:rsid w:val="00A961E2"/>
    <w:rsid w:val="00AB3B89"/>
    <w:rsid w:val="00AC4C1B"/>
    <w:rsid w:val="00AD107F"/>
    <w:rsid w:val="00AF153C"/>
    <w:rsid w:val="00AF74D5"/>
    <w:rsid w:val="00B136CC"/>
    <w:rsid w:val="00B23F07"/>
    <w:rsid w:val="00B322F2"/>
    <w:rsid w:val="00B34357"/>
    <w:rsid w:val="00B40EEC"/>
    <w:rsid w:val="00B423FF"/>
    <w:rsid w:val="00B62107"/>
    <w:rsid w:val="00B70925"/>
    <w:rsid w:val="00B73CF4"/>
    <w:rsid w:val="00B97710"/>
    <w:rsid w:val="00BC736F"/>
    <w:rsid w:val="00BD150B"/>
    <w:rsid w:val="00BD29DD"/>
    <w:rsid w:val="00BD32DC"/>
    <w:rsid w:val="00BF0879"/>
    <w:rsid w:val="00BF5A0B"/>
    <w:rsid w:val="00BF6998"/>
    <w:rsid w:val="00C10B32"/>
    <w:rsid w:val="00C12D15"/>
    <w:rsid w:val="00C20386"/>
    <w:rsid w:val="00C26134"/>
    <w:rsid w:val="00C26554"/>
    <w:rsid w:val="00C313FC"/>
    <w:rsid w:val="00C36C88"/>
    <w:rsid w:val="00C5327E"/>
    <w:rsid w:val="00C55B21"/>
    <w:rsid w:val="00C675B0"/>
    <w:rsid w:val="00C701A1"/>
    <w:rsid w:val="00C72D1A"/>
    <w:rsid w:val="00C76233"/>
    <w:rsid w:val="00C91AA9"/>
    <w:rsid w:val="00CF4344"/>
    <w:rsid w:val="00D06543"/>
    <w:rsid w:val="00D06A0B"/>
    <w:rsid w:val="00D2108B"/>
    <w:rsid w:val="00D2405A"/>
    <w:rsid w:val="00D343F3"/>
    <w:rsid w:val="00D51D52"/>
    <w:rsid w:val="00D5470C"/>
    <w:rsid w:val="00D56853"/>
    <w:rsid w:val="00D57D9B"/>
    <w:rsid w:val="00D64237"/>
    <w:rsid w:val="00D70574"/>
    <w:rsid w:val="00D82B2B"/>
    <w:rsid w:val="00D85E63"/>
    <w:rsid w:val="00D94017"/>
    <w:rsid w:val="00DA0E1C"/>
    <w:rsid w:val="00DA227C"/>
    <w:rsid w:val="00DA35A4"/>
    <w:rsid w:val="00DA414E"/>
    <w:rsid w:val="00DA515A"/>
    <w:rsid w:val="00DA69CD"/>
    <w:rsid w:val="00DB430F"/>
    <w:rsid w:val="00DC23CE"/>
    <w:rsid w:val="00DC31DF"/>
    <w:rsid w:val="00DC655B"/>
    <w:rsid w:val="00DD0F0D"/>
    <w:rsid w:val="00DE31AA"/>
    <w:rsid w:val="00E04A63"/>
    <w:rsid w:val="00E13E2D"/>
    <w:rsid w:val="00E27893"/>
    <w:rsid w:val="00E365F2"/>
    <w:rsid w:val="00E47ADC"/>
    <w:rsid w:val="00E56C11"/>
    <w:rsid w:val="00E65FB8"/>
    <w:rsid w:val="00E663A7"/>
    <w:rsid w:val="00E74E15"/>
    <w:rsid w:val="00E77182"/>
    <w:rsid w:val="00E86996"/>
    <w:rsid w:val="00E86B61"/>
    <w:rsid w:val="00E96B29"/>
    <w:rsid w:val="00EB7916"/>
    <w:rsid w:val="00EC51C0"/>
    <w:rsid w:val="00EE1DA6"/>
    <w:rsid w:val="00EF57B5"/>
    <w:rsid w:val="00F16ED0"/>
    <w:rsid w:val="00F22EFB"/>
    <w:rsid w:val="00F23F8D"/>
    <w:rsid w:val="00F24799"/>
    <w:rsid w:val="00F26E22"/>
    <w:rsid w:val="00F27280"/>
    <w:rsid w:val="00F56E39"/>
    <w:rsid w:val="00F631BC"/>
    <w:rsid w:val="00F6518D"/>
    <w:rsid w:val="00F76649"/>
    <w:rsid w:val="00F836A3"/>
    <w:rsid w:val="00F9001E"/>
    <w:rsid w:val="00F96630"/>
    <w:rsid w:val="00FA7B25"/>
    <w:rsid w:val="00FB225F"/>
    <w:rsid w:val="00FC5F4C"/>
    <w:rsid w:val="00FC77A7"/>
    <w:rsid w:val="00FD2795"/>
    <w:rsid w:val="00FD7374"/>
    <w:rsid w:val="00FF230D"/>
    <w:rsid w:val="014D5327"/>
    <w:rsid w:val="01521C8D"/>
    <w:rsid w:val="019E5448"/>
    <w:rsid w:val="01BC2755"/>
    <w:rsid w:val="02003DFC"/>
    <w:rsid w:val="02A26266"/>
    <w:rsid w:val="02C46BBB"/>
    <w:rsid w:val="02E842BB"/>
    <w:rsid w:val="030B2AC3"/>
    <w:rsid w:val="0341645D"/>
    <w:rsid w:val="035D1AE3"/>
    <w:rsid w:val="036A4624"/>
    <w:rsid w:val="038134CC"/>
    <w:rsid w:val="039959AA"/>
    <w:rsid w:val="03D96B5A"/>
    <w:rsid w:val="040F20B8"/>
    <w:rsid w:val="04317AFA"/>
    <w:rsid w:val="04D1736D"/>
    <w:rsid w:val="05245BA1"/>
    <w:rsid w:val="055406CA"/>
    <w:rsid w:val="057E0ADF"/>
    <w:rsid w:val="059B410B"/>
    <w:rsid w:val="05AE2D4F"/>
    <w:rsid w:val="05BC7714"/>
    <w:rsid w:val="06316EAB"/>
    <w:rsid w:val="06606FD5"/>
    <w:rsid w:val="06732DD2"/>
    <w:rsid w:val="06A80422"/>
    <w:rsid w:val="07DC709C"/>
    <w:rsid w:val="07DF7FF2"/>
    <w:rsid w:val="080E5AC1"/>
    <w:rsid w:val="08143CD2"/>
    <w:rsid w:val="0852360B"/>
    <w:rsid w:val="087C2E3E"/>
    <w:rsid w:val="08A06E81"/>
    <w:rsid w:val="08A53E33"/>
    <w:rsid w:val="08AE2877"/>
    <w:rsid w:val="08C416C3"/>
    <w:rsid w:val="08E41FD5"/>
    <w:rsid w:val="08EB67B2"/>
    <w:rsid w:val="093E1F1D"/>
    <w:rsid w:val="0959633F"/>
    <w:rsid w:val="099454F2"/>
    <w:rsid w:val="09A03223"/>
    <w:rsid w:val="09CE0DAF"/>
    <w:rsid w:val="09E25362"/>
    <w:rsid w:val="09F132EA"/>
    <w:rsid w:val="0A147937"/>
    <w:rsid w:val="0A2054EB"/>
    <w:rsid w:val="0A276CF1"/>
    <w:rsid w:val="0AAA33D0"/>
    <w:rsid w:val="0AC23797"/>
    <w:rsid w:val="0AC50137"/>
    <w:rsid w:val="0ADF080B"/>
    <w:rsid w:val="0B0B4F54"/>
    <w:rsid w:val="0B445418"/>
    <w:rsid w:val="0B863AD8"/>
    <w:rsid w:val="0BC470A0"/>
    <w:rsid w:val="0BEB3BDC"/>
    <w:rsid w:val="0C380F17"/>
    <w:rsid w:val="0D103128"/>
    <w:rsid w:val="0D186481"/>
    <w:rsid w:val="0D1A7CFE"/>
    <w:rsid w:val="0D3154DF"/>
    <w:rsid w:val="0D3E3A75"/>
    <w:rsid w:val="0D68532D"/>
    <w:rsid w:val="0D6A3503"/>
    <w:rsid w:val="0DB25F8E"/>
    <w:rsid w:val="0DD76B26"/>
    <w:rsid w:val="0E344C6B"/>
    <w:rsid w:val="0E4C6700"/>
    <w:rsid w:val="0E6B199A"/>
    <w:rsid w:val="0E7A5FE3"/>
    <w:rsid w:val="0F4A3523"/>
    <w:rsid w:val="0F6269F1"/>
    <w:rsid w:val="0F876B0D"/>
    <w:rsid w:val="0FA33498"/>
    <w:rsid w:val="109A2FA2"/>
    <w:rsid w:val="109C4D8A"/>
    <w:rsid w:val="10C273F9"/>
    <w:rsid w:val="10C43081"/>
    <w:rsid w:val="10FD0ECD"/>
    <w:rsid w:val="110F7E62"/>
    <w:rsid w:val="11A91641"/>
    <w:rsid w:val="121C6872"/>
    <w:rsid w:val="123F44EE"/>
    <w:rsid w:val="128D16D4"/>
    <w:rsid w:val="12C14D6D"/>
    <w:rsid w:val="12F86568"/>
    <w:rsid w:val="13016284"/>
    <w:rsid w:val="131C6F6F"/>
    <w:rsid w:val="13B036D7"/>
    <w:rsid w:val="13E62E35"/>
    <w:rsid w:val="14011FF8"/>
    <w:rsid w:val="14236EF1"/>
    <w:rsid w:val="1497505A"/>
    <w:rsid w:val="14CE4C6A"/>
    <w:rsid w:val="14CF6DC4"/>
    <w:rsid w:val="150C68CB"/>
    <w:rsid w:val="151A7B59"/>
    <w:rsid w:val="15325C06"/>
    <w:rsid w:val="156A4754"/>
    <w:rsid w:val="165920D3"/>
    <w:rsid w:val="16924078"/>
    <w:rsid w:val="169D4A84"/>
    <w:rsid w:val="16C531D6"/>
    <w:rsid w:val="16E109A1"/>
    <w:rsid w:val="16FB413C"/>
    <w:rsid w:val="170A726D"/>
    <w:rsid w:val="174840EA"/>
    <w:rsid w:val="17C46D09"/>
    <w:rsid w:val="17D43E97"/>
    <w:rsid w:val="17D47448"/>
    <w:rsid w:val="180062C8"/>
    <w:rsid w:val="185F4F64"/>
    <w:rsid w:val="18712EAB"/>
    <w:rsid w:val="187C1BBC"/>
    <w:rsid w:val="18C140FE"/>
    <w:rsid w:val="190408ED"/>
    <w:rsid w:val="196D3528"/>
    <w:rsid w:val="19846FE0"/>
    <w:rsid w:val="1A6B54E7"/>
    <w:rsid w:val="1A895829"/>
    <w:rsid w:val="1AF31C5C"/>
    <w:rsid w:val="1B2C0F9D"/>
    <w:rsid w:val="1BCA6982"/>
    <w:rsid w:val="1BD76880"/>
    <w:rsid w:val="1C025B30"/>
    <w:rsid w:val="1C1339F7"/>
    <w:rsid w:val="1C2B2786"/>
    <w:rsid w:val="1C453813"/>
    <w:rsid w:val="1C6E1C1A"/>
    <w:rsid w:val="1C987158"/>
    <w:rsid w:val="1CA34F1A"/>
    <w:rsid w:val="1CC42684"/>
    <w:rsid w:val="1CCA28FC"/>
    <w:rsid w:val="1CE13C81"/>
    <w:rsid w:val="1CEA0CCF"/>
    <w:rsid w:val="1D6B7F07"/>
    <w:rsid w:val="1DAC14E4"/>
    <w:rsid w:val="1DAD0520"/>
    <w:rsid w:val="1DBA5B0F"/>
    <w:rsid w:val="1DD60D39"/>
    <w:rsid w:val="1E0167EB"/>
    <w:rsid w:val="1E275B93"/>
    <w:rsid w:val="1E4C11A7"/>
    <w:rsid w:val="1E671732"/>
    <w:rsid w:val="1E6A7966"/>
    <w:rsid w:val="1EA61BD6"/>
    <w:rsid w:val="1EA87764"/>
    <w:rsid w:val="1EC15B44"/>
    <w:rsid w:val="1EDB546F"/>
    <w:rsid w:val="1EDC1F32"/>
    <w:rsid w:val="1F401481"/>
    <w:rsid w:val="1F590858"/>
    <w:rsid w:val="1F9574BD"/>
    <w:rsid w:val="1FA37E2C"/>
    <w:rsid w:val="20552EFF"/>
    <w:rsid w:val="21277601"/>
    <w:rsid w:val="21421A73"/>
    <w:rsid w:val="217A7DF5"/>
    <w:rsid w:val="218277CF"/>
    <w:rsid w:val="21AB64BC"/>
    <w:rsid w:val="21FC5A0F"/>
    <w:rsid w:val="21FD5CDE"/>
    <w:rsid w:val="222033E8"/>
    <w:rsid w:val="22794769"/>
    <w:rsid w:val="22B826E2"/>
    <w:rsid w:val="22D20C67"/>
    <w:rsid w:val="23257552"/>
    <w:rsid w:val="232C3D3C"/>
    <w:rsid w:val="233D5FFC"/>
    <w:rsid w:val="23525171"/>
    <w:rsid w:val="23662D56"/>
    <w:rsid w:val="23BD5235"/>
    <w:rsid w:val="23C32CEC"/>
    <w:rsid w:val="23D42CAA"/>
    <w:rsid w:val="23DF51AB"/>
    <w:rsid w:val="23EE6F21"/>
    <w:rsid w:val="243C34F5"/>
    <w:rsid w:val="24446C07"/>
    <w:rsid w:val="24B921E1"/>
    <w:rsid w:val="25123C17"/>
    <w:rsid w:val="25527AF3"/>
    <w:rsid w:val="259465DA"/>
    <w:rsid w:val="25DB4423"/>
    <w:rsid w:val="261E020C"/>
    <w:rsid w:val="26656889"/>
    <w:rsid w:val="268B7118"/>
    <w:rsid w:val="26B84FD6"/>
    <w:rsid w:val="26CD5198"/>
    <w:rsid w:val="26FC5568"/>
    <w:rsid w:val="270E38A9"/>
    <w:rsid w:val="27726198"/>
    <w:rsid w:val="27D6216C"/>
    <w:rsid w:val="28781588"/>
    <w:rsid w:val="28971DD9"/>
    <w:rsid w:val="28AB79FC"/>
    <w:rsid w:val="29104C1F"/>
    <w:rsid w:val="291F5FE5"/>
    <w:rsid w:val="294D2BB7"/>
    <w:rsid w:val="296665D3"/>
    <w:rsid w:val="29B11E6F"/>
    <w:rsid w:val="29DA5475"/>
    <w:rsid w:val="2A035756"/>
    <w:rsid w:val="2A1074FE"/>
    <w:rsid w:val="2A8D1B25"/>
    <w:rsid w:val="2B976A31"/>
    <w:rsid w:val="2BE15837"/>
    <w:rsid w:val="2C64193A"/>
    <w:rsid w:val="2C6A03AA"/>
    <w:rsid w:val="2C6A1980"/>
    <w:rsid w:val="2C9D0B82"/>
    <w:rsid w:val="2CDD4613"/>
    <w:rsid w:val="2D14247A"/>
    <w:rsid w:val="2DB20ED5"/>
    <w:rsid w:val="2DB26F99"/>
    <w:rsid w:val="2E35643B"/>
    <w:rsid w:val="2E8E1BED"/>
    <w:rsid w:val="2EAE40F8"/>
    <w:rsid w:val="2F0F6620"/>
    <w:rsid w:val="2FCF4325"/>
    <w:rsid w:val="30274A35"/>
    <w:rsid w:val="303049FD"/>
    <w:rsid w:val="304172BC"/>
    <w:rsid w:val="3067501A"/>
    <w:rsid w:val="30763E8C"/>
    <w:rsid w:val="30A3170E"/>
    <w:rsid w:val="30DD429F"/>
    <w:rsid w:val="31081D5F"/>
    <w:rsid w:val="310F0472"/>
    <w:rsid w:val="31B1601B"/>
    <w:rsid w:val="31C50377"/>
    <w:rsid w:val="32300FDE"/>
    <w:rsid w:val="323C02B6"/>
    <w:rsid w:val="325053C7"/>
    <w:rsid w:val="32C85EC3"/>
    <w:rsid w:val="33297ABE"/>
    <w:rsid w:val="33371D5E"/>
    <w:rsid w:val="33A4647A"/>
    <w:rsid w:val="33CC4717"/>
    <w:rsid w:val="33E14242"/>
    <w:rsid w:val="33EB27ED"/>
    <w:rsid w:val="341276CC"/>
    <w:rsid w:val="34A71524"/>
    <w:rsid w:val="34DC452A"/>
    <w:rsid w:val="35322F2C"/>
    <w:rsid w:val="35587075"/>
    <w:rsid w:val="357445FB"/>
    <w:rsid w:val="3579545F"/>
    <w:rsid w:val="35B86E20"/>
    <w:rsid w:val="35B97C1E"/>
    <w:rsid w:val="35D256F6"/>
    <w:rsid w:val="361C0AA0"/>
    <w:rsid w:val="36B95599"/>
    <w:rsid w:val="36DC54DD"/>
    <w:rsid w:val="36F61C8D"/>
    <w:rsid w:val="37943E0C"/>
    <w:rsid w:val="37F232A7"/>
    <w:rsid w:val="3845787B"/>
    <w:rsid w:val="38561466"/>
    <w:rsid w:val="38C65EDD"/>
    <w:rsid w:val="38FE11C5"/>
    <w:rsid w:val="39111E96"/>
    <w:rsid w:val="391E1E7A"/>
    <w:rsid w:val="3951682C"/>
    <w:rsid w:val="39825170"/>
    <w:rsid w:val="39A700C1"/>
    <w:rsid w:val="3A4F112C"/>
    <w:rsid w:val="3A573E9C"/>
    <w:rsid w:val="3A577E45"/>
    <w:rsid w:val="3A6A42A0"/>
    <w:rsid w:val="3A6B3B12"/>
    <w:rsid w:val="3A831210"/>
    <w:rsid w:val="3A9E4493"/>
    <w:rsid w:val="3AD924FC"/>
    <w:rsid w:val="3B0B5D2C"/>
    <w:rsid w:val="3B1D1F76"/>
    <w:rsid w:val="3B6345BC"/>
    <w:rsid w:val="3BB6790B"/>
    <w:rsid w:val="3BC10AFC"/>
    <w:rsid w:val="3BD41432"/>
    <w:rsid w:val="3CC05B1A"/>
    <w:rsid w:val="3CD265EC"/>
    <w:rsid w:val="3CD70CBD"/>
    <w:rsid w:val="3CEA350B"/>
    <w:rsid w:val="3CF81A2E"/>
    <w:rsid w:val="3D3014AF"/>
    <w:rsid w:val="3D600C43"/>
    <w:rsid w:val="3DB167DC"/>
    <w:rsid w:val="3DB544DA"/>
    <w:rsid w:val="3DBF59D9"/>
    <w:rsid w:val="3DD4289D"/>
    <w:rsid w:val="3DE1386F"/>
    <w:rsid w:val="3DF207A0"/>
    <w:rsid w:val="3E9E4DE0"/>
    <w:rsid w:val="3ECD7285"/>
    <w:rsid w:val="3EDB5CD0"/>
    <w:rsid w:val="3EE863B4"/>
    <w:rsid w:val="3F1E79B4"/>
    <w:rsid w:val="3F4A66DF"/>
    <w:rsid w:val="3F6B1054"/>
    <w:rsid w:val="3F90221C"/>
    <w:rsid w:val="3FCA68B7"/>
    <w:rsid w:val="3FFD5E6D"/>
    <w:rsid w:val="4082419D"/>
    <w:rsid w:val="40DA5BCB"/>
    <w:rsid w:val="41224F6A"/>
    <w:rsid w:val="4166568A"/>
    <w:rsid w:val="416C0D4E"/>
    <w:rsid w:val="418C02C8"/>
    <w:rsid w:val="41BE42EE"/>
    <w:rsid w:val="41C65E56"/>
    <w:rsid w:val="41EC5971"/>
    <w:rsid w:val="420248E8"/>
    <w:rsid w:val="420506D3"/>
    <w:rsid w:val="422514B1"/>
    <w:rsid w:val="425A6618"/>
    <w:rsid w:val="42AD24B8"/>
    <w:rsid w:val="42BC0994"/>
    <w:rsid w:val="43212D09"/>
    <w:rsid w:val="432F61E0"/>
    <w:rsid w:val="437230ED"/>
    <w:rsid w:val="43AD4E49"/>
    <w:rsid w:val="44593688"/>
    <w:rsid w:val="44901E7E"/>
    <w:rsid w:val="44C67F95"/>
    <w:rsid w:val="44EB6944"/>
    <w:rsid w:val="45082796"/>
    <w:rsid w:val="451D2064"/>
    <w:rsid w:val="452C6D53"/>
    <w:rsid w:val="45424FA0"/>
    <w:rsid w:val="459B1FF7"/>
    <w:rsid w:val="45AA4DFB"/>
    <w:rsid w:val="45DD742A"/>
    <w:rsid w:val="45E65169"/>
    <w:rsid w:val="469B5DE5"/>
    <w:rsid w:val="46B823C0"/>
    <w:rsid w:val="46CF74F6"/>
    <w:rsid w:val="46DE29E6"/>
    <w:rsid w:val="46E305D2"/>
    <w:rsid w:val="476717F2"/>
    <w:rsid w:val="47E36768"/>
    <w:rsid w:val="482D4F8A"/>
    <w:rsid w:val="48457B65"/>
    <w:rsid w:val="48650722"/>
    <w:rsid w:val="48BC5245"/>
    <w:rsid w:val="48BC7ED4"/>
    <w:rsid w:val="48EE1E28"/>
    <w:rsid w:val="48EE65CA"/>
    <w:rsid w:val="49266DB0"/>
    <w:rsid w:val="497E7415"/>
    <w:rsid w:val="49862759"/>
    <w:rsid w:val="49D27D99"/>
    <w:rsid w:val="4A744687"/>
    <w:rsid w:val="4A8E6457"/>
    <w:rsid w:val="4A9D1BA0"/>
    <w:rsid w:val="4AFB2DDF"/>
    <w:rsid w:val="4B382D5D"/>
    <w:rsid w:val="4B9D25BB"/>
    <w:rsid w:val="4BB946FE"/>
    <w:rsid w:val="4BE72492"/>
    <w:rsid w:val="4C6F30A9"/>
    <w:rsid w:val="4C902C23"/>
    <w:rsid w:val="4C9661E5"/>
    <w:rsid w:val="4CF302B2"/>
    <w:rsid w:val="4D362276"/>
    <w:rsid w:val="4D4B0A94"/>
    <w:rsid w:val="4DA8088B"/>
    <w:rsid w:val="4DE07600"/>
    <w:rsid w:val="4E585F9D"/>
    <w:rsid w:val="4E6D5CFC"/>
    <w:rsid w:val="4E721E5E"/>
    <w:rsid w:val="4E7D2FD3"/>
    <w:rsid w:val="4EAD6D3D"/>
    <w:rsid w:val="4EBB3B6D"/>
    <w:rsid w:val="4F3D108E"/>
    <w:rsid w:val="4FEE5638"/>
    <w:rsid w:val="50A02BB0"/>
    <w:rsid w:val="5108521C"/>
    <w:rsid w:val="513007C1"/>
    <w:rsid w:val="517C2166"/>
    <w:rsid w:val="518721FB"/>
    <w:rsid w:val="52003D08"/>
    <w:rsid w:val="52302DC5"/>
    <w:rsid w:val="523A38E0"/>
    <w:rsid w:val="52455887"/>
    <w:rsid w:val="52626A21"/>
    <w:rsid w:val="526E6529"/>
    <w:rsid w:val="530A3743"/>
    <w:rsid w:val="53115595"/>
    <w:rsid w:val="532F4891"/>
    <w:rsid w:val="53380C77"/>
    <w:rsid w:val="53460996"/>
    <w:rsid w:val="53933F04"/>
    <w:rsid w:val="53A2397B"/>
    <w:rsid w:val="53A5289D"/>
    <w:rsid w:val="53A5346C"/>
    <w:rsid w:val="541A5C08"/>
    <w:rsid w:val="548F0958"/>
    <w:rsid w:val="549F3AD1"/>
    <w:rsid w:val="54B87687"/>
    <w:rsid w:val="54D71FD6"/>
    <w:rsid w:val="54F20494"/>
    <w:rsid w:val="553E2053"/>
    <w:rsid w:val="56136EE8"/>
    <w:rsid w:val="561728D5"/>
    <w:rsid w:val="562D45E3"/>
    <w:rsid w:val="56353132"/>
    <w:rsid w:val="56A24D79"/>
    <w:rsid w:val="575351E3"/>
    <w:rsid w:val="57763155"/>
    <w:rsid w:val="57F7240A"/>
    <w:rsid w:val="58AB22B8"/>
    <w:rsid w:val="590D743B"/>
    <w:rsid w:val="5A3B5088"/>
    <w:rsid w:val="5A3B7124"/>
    <w:rsid w:val="5ABC0F90"/>
    <w:rsid w:val="5B5C4820"/>
    <w:rsid w:val="5BEA7C5C"/>
    <w:rsid w:val="5C2E7037"/>
    <w:rsid w:val="5C49623E"/>
    <w:rsid w:val="5C573957"/>
    <w:rsid w:val="5C967C93"/>
    <w:rsid w:val="5CBA1760"/>
    <w:rsid w:val="5CFD34E7"/>
    <w:rsid w:val="5D014A76"/>
    <w:rsid w:val="5DDB6A73"/>
    <w:rsid w:val="5DE26951"/>
    <w:rsid w:val="5DFF6E9D"/>
    <w:rsid w:val="5EDB5708"/>
    <w:rsid w:val="5F5028DB"/>
    <w:rsid w:val="5F645F38"/>
    <w:rsid w:val="5F712693"/>
    <w:rsid w:val="601066D5"/>
    <w:rsid w:val="6022649B"/>
    <w:rsid w:val="60A50E38"/>
    <w:rsid w:val="60B722E3"/>
    <w:rsid w:val="60BC7208"/>
    <w:rsid w:val="60EF491D"/>
    <w:rsid w:val="60F60F76"/>
    <w:rsid w:val="610E37CB"/>
    <w:rsid w:val="615B5A64"/>
    <w:rsid w:val="61951D6A"/>
    <w:rsid w:val="61D33E71"/>
    <w:rsid w:val="61E36C72"/>
    <w:rsid w:val="623E596D"/>
    <w:rsid w:val="62524286"/>
    <w:rsid w:val="62601692"/>
    <w:rsid w:val="629E0020"/>
    <w:rsid w:val="62CC08C0"/>
    <w:rsid w:val="62DD79FB"/>
    <w:rsid w:val="62E239DB"/>
    <w:rsid w:val="62E66B6E"/>
    <w:rsid w:val="631C6977"/>
    <w:rsid w:val="63B81FA1"/>
    <w:rsid w:val="63CC3A1E"/>
    <w:rsid w:val="64113856"/>
    <w:rsid w:val="641E7135"/>
    <w:rsid w:val="64391FD7"/>
    <w:rsid w:val="643F32F0"/>
    <w:rsid w:val="64670ED9"/>
    <w:rsid w:val="64944E87"/>
    <w:rsid w:val="64F93BF5"/>
    <w:rsid w:val="654C74CD"/>
    <w:rsid w:val="65797B89"/>
    <w:rsid w:val="65BF1D0C"/>
    <w:rsid w:val="65F96CE2"/>
    <w:rsid w:val="660B3602"/>
    <w:rsid w:val="668C5638"/>
    <w:rsid w:val="66E00211"/>
    <w:rsid w:val="66EF6A80"/>
    <w:rsid w:val="67217B92"/>
    <w:rsid w:val="673646AF"/>
    <w:rsid w:val="68637BCE"/>
    <w:rsid w:val="68B37186"/>
    <w:rsid w:val="68BB47B8"/>
    <w:rsid w:val="68C22C9F"/>
    <w:rsid w:val="68C2587B"/>
    <w:rsid w:val="691B3DA7"/>
    <w:rsid w:val="693D52F9"/>
    <w:rsid w:val="69692B1A"/>
    <w:rsid w:val="696D3B45"/>
    <w:rsid w:val="69BE031B"/>
    <w:rsid w:val="69E33E32"/>
    <w:rsid w:val="69EE22A9"/>
    <w:rsid w:val="6A127AB9"/>
    <w:rsid w:val="6A536AC2"/>
    <w:rsid w:val="6AA21CCB"/>
    <w:rsid w:val="6AD42215"/>
    <w:rsid w:val="6AE5799C"/>
    <w:rsid w:val="6B070CD2"/>
    <w:rsid w:val="6B111093"/>
    <w:rsid w:val="6B1D3939"/>
    <w:rsid w:val="6B292D7C"/>
    <w:rsid w:val="6B4F531C"/>
    <w:rsid w:val="6B800428"/>
    <w:rsid w:val="6B8E4AB9"/>
    <w:rsid w:val="6BAF1736"/>
    <w:rsid w:val="6BE513E7"/>
    <w:rsid w:val="6CA67BE1"/>
    <w:rsid w:val="6CA9665E"/>
    <w:rsid w:val="6CAC57A6"/>
    <w:rsid w:val="6CCE1116"/>
    <w:rsid w:val="6CD54340"/>
    <w:rsid w:val="6CEB72A5"/>
    <w:rsid w:val="6CF60C9E"/>
    <w:rsid w:val="6CF614D4"/>
    <w:rsid w:val="6D5E05A2"/>
    <w:rsid w:val="6D607702"/>
    <w:rsid w:val="6D925667"/>
    <w:rsid w:val="6DB74C43"/>
    <w:rsid w:val="6DD05EAC"/>
    <w:rsid w:val="6DD60344"/>
    <w:rsid w:val="6DF17639"/>
    <w:rsid w:val="6E0C532D"/>
    <w:rsid w:val="6E7F2DDF"/>
    <w:rsid w:val="6E94146F"/>
    <w:rsid w:val="6EB03F5C"/>
    <w:rsid w:val="6ECA221C"/>
    <w:rsid w:val="6F094457"/>
    <w:rsid w:val="6F350E9A"/>
    <w:rsid w:val="6F4D5330"/>
    <w:rsid w:val="6F647C93"/>
    <w:rsid w:val="6F6D3DA5"/>
    <w:rsid w:val="6FD53E43"/>
    <w:rsid w:val="6FEA66B3"/>
    <w:rsid w:val="7020414E"/>
    <w:rsid w:val="704240A8"/>
    <w:rsid w:val="709A615F"/>
    <w:rsid w:val="70FA42E0"/>
    <w:rsid w:val="70FE6589"/>
    <w:rsid w:val="712228D1"/>
    <w:rsid w:val="71B92164"/>
    <w:rsid w:val="71E24634"/>
    <w:rsid w:val="71EA05E0"/>
    <w:rsid w:val="71F35A58"/>
    <w:rsid w:val="720D1744"/>
    <w:rsid w:val="726E5CB9"/>
    <w:rsid w:val="72F95F8F"/>
    <w:rsid w:val="73102DAA"/>
    <w:rsid w:val="7319341F"/>
    <w:rsid w:val="731F2360"/>
    <w:rsid w:val="7349576A"/>
    <w:rsid w:val="73A92DC6"/>
    <w:rsid w:val="73D07D30"/>
    <w:rsid w:val="74146E06"/>
    <w:rsid w:val="7471046A"/>
    <w:rsid w:val="74BD46D7"/>
    <w:rsid w:val="74C03A22"/>
    <w:rsid w:val="750321A6"/>
    <w:rsid w:val="75496A6D"/>
    <w:rsid w:val="755813B7"/>
    <w:rsid w:val="755B2CFB"/>
    <w:rsid w:val="763B6A62"/>
    <w:rsid w:val="76571F4C"/>
    <w:rsid w:val="76573BCC"/>
    <w:rsid w:val="768371E5"/>
    <w:rsid w:val="77034B12"/>
    <w:rsid w:val="773D7567"/>
    <w:rsid w:val="774820F5"/>
    <w:rsid w:val="77640DC4"/>
    <w:rsid w:val="784020F0"/>
    <w:rsid w:val="784816AD"/>
    <w:rsid w:val="784C1AC5"/>
    <w:rsid w:val="78996546"/>
    <w:rsid w:val="78AA797A"/>
    <w:rsid w:val="79780B57"/>
    <w:rsid w:val="7A3D6FC9"/>
    <w:rsid w:val="7AB20098"/>
    <w:rsid w:val="7AFB5F32"/>
    <w:rsid w:val="7B045992"/>
    <w:rsid w:val="7B365D6C"/>
    <w:rsid w:val="7B475856"/>
    <w:rsid w:val="7B717702"/>
    <w:rsid w:val="7B795A54"/>
    <w:rsid w:val="7BEF0244"/>
    <w:rsid w:val="7C5B3A94"/>
    <w:rsid w:val="7C5C0012"/>
    <w:rsid w:val="7C5D6E58"/>
    <w:rsid w:val="7C6A24BB"/>
    <w:rsid w:val="7CCA5E98"/>
    <w:rsid w:val="7D6E25E3"/>
    <w:rsid w:val="7DFA0D49"/>
    <w:rsid w:val="7E1A042F"/>
    <w:rsid w:val="7E9B60C5"/>
    <w:rsid w:val="7EBD6DE0"/>
    <w:rsid w:val="7F023311"/>
    <w:rsid w:val="7F314FB6"/>
    <w:rsid w:val="7FEA16CA"/>
    <w:rsid w:val="7FF64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spacing w:after="120" w:line="480" w:lineRule="auto"/>
      <w:ind w:left="420" w:leftChars="200"/>
    </w:pPr>
  </w:style>
  <w:style w:type="paragraph" w:styleId="4">
    <w:name w:val="Balloon Text"/>
    <w:basedOn w:val="1"/>
    <w:link w:val="14"/>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next w:val="5"/>
    <w:qFormat/>
    <w:uiPriority w:val="0"/>
    <w:pPr>
      <w:widowControl w:val="0"/>
      <w:ind w:firstLine="200" w:firstLineChars="200"/>
      <w:jc w:val="both"/>
    </w:pPr>
    <w:rPr>
      <w:rFonts w:ascii="仿宋_GB2312" w:hAnsi="Times New Roman" w:eastAsia="仿宋_GB2312" w:cs="Times New Roman"/>
      <w:kern w:val="2"/>
      <w:sz w:val="28"/>
      <w:szCs w:val="24"/>
      <w:lang w:val="en-US" w:eastAsia="zh-CN" w:bidi="ar-SA"/>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20"/>
    <w:rPr>
      <w:i/>
      <w:iCs/>
    </w:r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批注框文本 Char"/>
    <w:basedOn w:val="11"/>
    <w:link w:val="4"/>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页脚 Char"/>
    <w:basedOn w:val="11"/>
    <w:link w:val="5"/>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12577-BA86-4A68-8D95-0B049FF5DBA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1331</Words>
  <Characters>7588</Characters>
  <Lines>63</Lines>
  <Paragraphs>17</Paragraphs>
  <TotalTime>1</TotalTime>
  <ScaleCrop>false</ScaleCrop>
  <LinksUpToDate>false</LinksUpToDate>
  <CharactersWithSpaces>8902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2024-01-08T07:18:00Z</dcterms:created>
  <dc:creator>hzq</dc:creator>
  <cp:lastModifiedBy>胡聪</cp:lastModifiedBy>
  <cp:lastPrinted>2024-01-09T08:15:00Z</cp:lastPrinted>
  <dcterms:modified xsi:type="dcterms:W3CDTF">2024-01-17T00:14:37Z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881E3BE0DE854E17A6196B8E4E9E9BB5_13</vt:lpwstr>
  </property>
</Properties>
</file>