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36"/>
          <w:szCs w:val="36"/>
        </w:rPr>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国家级服务业标准化试点（商贸流通专项）</w:t>
      </w:r>
    </w:p>
    <w:p>
      <w:pPr>
        <w:spacing w:line="360" w:lineRule="auto"/>
        <w:jc w:val="both"/>
        <w:rPr>
          <w:rFonts w:ascii="方正小标宋简体" w:eastAsia="方正小标宋简体"/>
          <w:sz w:val="36"/>
          <w:szCs w:val="36"/>
        </w:rPr>
      </w:pPr>
    </w:p>
    <w:p>
      <w:pPr>
        <w:spacing w:line="360" w:lineRule="auto"/>
        <w:jc w:val="both"/>
        <w:rPr>
          <w:rFonts w:ascii="方正小标宋简体" w:eastAsia="方正小标宋简体"/>
          <w:sz w:val="36"/>
          <w:szCs w:val="36"/>
        </w:rPr>
      </w:pPr>
    </w:p>
    <w:p>
      <w:pPr>
        <w:spacing w:line="360" w:lineRule="auto"/>
        <w:jc w:val="both"/>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eastAsia="方正小标宋简体"/>
          <w:sz w:val="84"/>
          <w:szCs w:val="84"/>
        </w:rPr>
      </w:pPr>
      <w:r>
        <w:rPr>
          <w:rFonts w:hint="eastAsia" w:ascii="方正小标宋简体" w:eastAsia="方正小标宋简体"/>
          <w:sz w:val="84"/>
          <w:szCs w:val="84"/>
          <w:lang w:eastAsia="zh-CN"/>
        </w:rPr>
        <w:t>工</w:t>
      </w:r>
      <w:r>
        <w:rPr>
          <w:rFonts w:hint="eastAsia" w:ascii="方正小标宋简体" w:eastAsia="方正小标宋简体"/>
          <w:sz w:val="84"/>
          <w:szCs w:val="84"/>
        </w:rPr>
        <w:t xml:space="preserve"> </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eastAsia="方正小标宋简体"/>
          <w:sz w:val="84"/>
          <w:szCs w:val="84"/>
        </w:rPr>
      </w:pPr>
      <w:r>
        <w:rPr>
          <w:rFonts w:hint="eastAsia" w:ascii="方正小标宋简体" w:eastAsia="方正小标宋简体"/>
          <w:sz w:val="84"/>
          <w:szCs w:val="84"/>
          <w:lang w:eastAsia="zh-CN"/>
        </w:rPr>
        <w:t>作</w:t>
      </w:r>
      <w:r>
        <w:rPr>
          <w:rFonts w:hint="eastAsia" w:ascii="方正小标宋简体" w:eastAsia="方正小标宋简体"/>
          <w:sz w:val="84"/>
          <w:szCs w:val="84"/>
        </w:rPr>
        <w:t xml:space="preserve"> </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eastAsia="方正小标宋简体"/>
          <w:sz w:val="84"/>
          <w:szCs w:val="84"/>
        </w:rPr>
      </w:pPr>
      <w:r>
        <w:rPr>
          <w:rFonts w:hint="eastAsia" w:ascii="方正小标宋简体" w:eastAsia="方正小标宋简体"/>
          <w:sz w:val="84"/>
          <w:szCs w:val="84"/>
          <w:lang w:eastAsia="zh-CN"/>
        </w:rPr>
        <w:t>指</w:t>
      </w:r>
      <w:r>
        <w:rPr>
          <w:rFonts w:hint="eastAsia" w:ascii="方正小标宋简体" w:eastAsia="方正小标宋简体"/>
          <w:sz w:val="84"/>
          <w:szCs w:val="84"/>
        </w:rPr>
        <w:t xml:space="preserve"> </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南</w:t>
      </w:r>
    </w:p>
    <w:p>
      <w:pPr>
        <w:spacing w:line="360" w:lineRule="auto"/>
        <w:rPr>
          <w:rFonts w:ascii="方正小标宋简体" w:eastAsia="方正小标宋简体"/>
          <w:sz w:val="52"/>
          <w:szCs w:val="52"/>
        </w:rPr>
      </w:pPr>
    </w:p>
    <w:p>
      <w:pPr>
        <w:spacing w:line="360" w:lineRule="auto"/>
        <w:rPr>
          <w:rFonts w:ascii="方正小标宋简体" w:eastAsia="方正小标宋简体"/>
          <w:sz w:val="52"/>
          <w:szCs w:val="52"/>
        </w:rPr>
      </w:pPr>
    </w:p>
    <w:p>
      <w:pPr>
        <w:spacing w:line="360" w:lineRule="auto"/>
        <w:jc w:val="center"/>
        <w:rPr>
          <w:rFonts w:hint="eastAsia" w:ascii="方正小标宋简体" w:eastAsia="方正小标宋简体"/>
          <w:bCs/>
          <w:sz w:val="36"/>
          <w:szCs w:val="36"/>
          <w:lang w:eastAsia="zh-CN"/>
        </w:rPr>
      </w:pPr>
      <w:r>
        <w:rPr>
          <w:rFonts w:hint="eastAsia" w:ascii="方正小标宋简体" w:eastAsia="方正小标宋简体"/>
          <w:bCs/>
          <w:sz w:val="36"/>
          <w:szCs w:val="36"/>
          <w:lang w:val="en-US" w:eastAsia="zh-CN"/>
        </w:rPr>
        <w:t xml:space="preserve"> </w:t>
      </w:r>
    </w:p>
    <w:p>
      <w:pPr>
        <w:spacing w:line="360" w:lineRule="auto"/>
        <w:jc w:val="center"/>
        <w:rPr>
          <w:rFonts w:ascii="方正小标宋简体" w:eastAsia="方正小标宋简体"/>
          <w:bCs/>
          <w:sz w:val="36"/>
          <w:szCs w:val="36"/>
        </w:rPr>
      </w:pPr>
      <w:r>
        <w:rPr>
          <w:rFonts w:hint="eastAsia" w:ascii="方正小标宋简体" w:eastAsia="方正小标宋简体"/>
          <w:bCs/>
          <w:sz w:val="36"/>
          <w:szCs w:val="36"/>
          <w:lang w:eastAsia="zh-CN"/>
        </w:rPr>
        <w:t>二</w:t>
      </w:r>
      <w:r>
        <w:rPr>
          <w:rFonts w:hint="eastAsia" w:ascii="方正小标宋简体" w:hAnsi="方正小标宋简体" w:eastAsia="方正小标宋简体" w:cs="方正小标宋简体"/>
          <w:bCs/>
          <w:sz w:val="36"/>
          <w:szCs w:val="36"/>
          <w:lang w:eastAsia="zh-CN"/>
        </w:rPr>
        <w:t>〇</w:t>
      </w:r>
      <w:r>
        <w:rPr>
          <w:rFonts w:hint="eastAsia" w:ascii="方正小标宋简体" w:eastAsia="方正小标宋简体"/>
          <w:bCs/>
          <w:sz w:val="36"/>
          <w:szCs w:val="36"/>
          <w:lang w:eastAsia="zh-CN"/>
        </w:rPr>
        <w:t>二一</w:t>
      </w:r>
      <w:r>
        <w:rPr>
          <w:rFonts w:hint="eastAsia" w:ascii="方正小标宋简体" w:eastAsia="方正小标宋简体"/>
          <w:bCs/>
          <w:sz w:val="36"/>
          <w:szCs w:val="36"/>
        </w:rPr>
        <w:t>年</w:t>
      </w:r>
      <w:r>
        <w:rPr>
          <w:rFonts w:hint="eastAsia" w:ascii="方正小标宋简体" w:eastAsia="方正小标宋简体"/>
          <w:bCs/>
          <w:sz w:val="36"/>
          <w:szCs w:val="36"/>
          <w:lang w:val="en-US" w:eastAsia="zh-CN"/>
        </w:rPr>
        <w:t>十二</w:t>
      </w:r>
      <w:r>
        <w:rPr>
          <w:rFonts w:hint="eastAsia" w:ascii="方正小标宋简体" w:eastAsia="方正小标宋简体"/>
          <w:bCs/>
          <w:sz w:val="36"/>
          <w:szCs w:val="36"/>
        </w:rPr>
        <w:t>月</w:t>
      </w:r>
    </w:p>
    <w:p>
      <w:pPr>
        <w:widowControl/>
        <w:spacing w:line="594" w:lineRule="exact"/>
        <w:jc w:val="center"/>
        <w:rPr>
          <w:rFonts w:ascii="方正黑体简体" w:hAnsi="Arial" w:eastAsia="方正黑体简体" w:cs="Arial"/>
          <w:color w:val="010101"/>
          <w:kern w:val="0"/>
          <w:sz w:val="32"/>
          <w:szCs w:val="32"/>
        </w:rPr>
      </w:pPr>
    </w:p>
    <w:p>
      <w:pPr>
        <w:widowControl/>
        <w:spacing w:line="594" w:lineRule="exact"/>
        <w:rPr>
          <w:rFonts w:ascii="方正黑体简体" w:hAnsi="Arial" w:eastAsia="方正黑体简体" w:cs="Arial"/>
          <w:color w:val="010101"/>
          <w:kern w:val="0"/>
          <w:sz w:val="32"/>
          <w:szCs w:val="32"/>
        </w:rPr>
        <w:sectPr>
          <w:headerReference r:id="rId5" w:type="first"/>
          <w:footerReference r:id="rId7" w:type="first"/>
          <w:headerReference r:id="rId3" w:type="default"/>
          <w:footerReference r:id="rId6" w:type="default"/>
          <w:headerReference r:id="rId4" w:type="even"/>
          <w:pgSz w:w="11906" w:h="16838"/>
          <w:pgMar w:top="1928" w:right="1531" w:bottom="1871" w:left="1531" w:header="851" w:footer="992" w:gutter="0"/>
          <w:pgNumType w:fmt="decimal" w:start="0"/>
          <w:cols w:space="720" w:num="1"/>
          <w:titlePg/>
          <w:docGrid w:type="lines" w:linePitch="312" w:charSpace="-841"/>
        </w:sectPr>
      </w:pPr>
    </w:p>
    <w:p>
      <w:pPr>
        <w:widowControl/>
        <w:spacing w:line="594" w:lineRule="exact"/>
        <w:jc w:val="center"/>
        <w:rPr>
          <w:rFonts w:hint="eastAsia" w:ascii="方正黑体简体" w:hAnsi="Arial" w:eastAsia="方正黑体简体" w:cs="Arial"/>
          <w:color w:val="010101"/>
          <w:kern w:val="0"/>
          <w:sz w:val="36"/>
          <w:szCs w:val="36"/>
          <w:lang w:eastAsia="zh-CN"/>
        </w:rPr>
      </w:pPr>
    </w:p>
    <w:p>
      <w:pPr>
        <w:widowControl/>
        <w:spacing w:line="594" w:lineRule="exact"/>
        <w:jc w:val="center"/>
        <w:rPr>
          <w:rFonts w:hint="eastAsia" w:ascii="方正黑体简体" w:hAnsi="Arial" w:eastAsia="方正黑体简体" w:cs="Arial"/>
          <w:color w:val="010101"/>
          <w:kern w:val="0"/>
          <w:sz w:val="32"/>
          <w:szCs w:val="32"/>
          <w:lang w:eastAsia="zh-CN"/>
        </w:rPr>
      </w:pPr>
      <w:r>
        <w:rPr>
          <w:rFonts w:hint="eastAsia" w:ascii="方正黑体简体" w:hAnsi="Arial" w:eastAsia="方正黑体简体" w:cs="Arial"/>
          <w:color w:val="010101"/>
          <w:kern w:val="0"/>
          <w:sz w:val="36"/>
          <w:szCs w:val="36"/>
          <w:lang w:eastAsia="zh-CN"/>
        </w:rPr>
        <w:t>目</w:t>
      </w:r>
      <w:r>
        <w:rPr>
          <w:rFonts w:hint="eastAsia" w:ascii="方正黑体简体" w:hAnsi="Arial" w:eastAsia="方正黑体简体" w:cs="Arial"/>
          <w:color w:val="010101"/>
          <w:kern w:val="0"/>
          <w:sz w:val="36"/>
          <w:szCs w:val="36"/>
          <w:lang w:val="en-US" w:eastAsia="zh-CN"/>
        </w:rPr>
        <w:t xml:space="preserve">  </w:t>
      </w:r>
      <w:r>
        <w:rPr>
          <w:rFonts w:hint="eastAsia" w:ascii="方正黑体简体" w:hAnsi="Arial" w:eastAsia="方正黑体简体" w:cs="Arial"/>
          <w:color w:val="010101"/>
          <w:kern w:val="0"/>
          <w:sz w:val="36"/>
          <w:szCs w:val="36"/>
          <w:lang w:eastAsia="zh-CN"/>
        </w:rPr>
        <w:t>录</w:t>
      </w:r>
    </w:p>
    <w:p>
      <w:pPr>
        <w:widowControl/>
        <w:spacing w:line="594" w:lineRule="exact"/>
        <w:jc w:val="center"/>
        <w:rPr>
          <w:rFonts w:ascii="方正黑体简体" w:hAnsi="Arial" w:eastAsia="方正黑体简体" w:cs="Arial"/>
          <w:color w:val="010101"/>
          <w:kern w:val="0"/>
          <w:sz w:val="32"/>
          <w:szCs w:val="32"/>
        </w:rPr>
      </w:pPr>
    </w:p>
    <w:p>
      <w:pPr>
        <w:pStyle w:val="11"/>
        <w:tabs>
          <w:tab w:val="right" w:leader="dot" w:pos="8844"/>
        </w:tabs>
      </w:pPr>
      <w:r>
        <w:rPr>
          <w:rFonts w:ascii="仿宋" w:hAnsi="仿宋" w:eastAsia="仿宋"/>
          <w:b w:val="0"/>
          <w:bCs w:val="0"/>
          <w:sz w:val="28"/>
          <w:szCs w:val="28"/>
        </w:rPr>
        <w:fldChar w:fldCharType="begin"/>
      </w:r>
      <w:r>
        <w:rPr>
          <w:rFonts w:ascii="仿宋" w:hAnsi="仿宋" w:eastAsia="仿宋"/>
          <w:b w:val="0"/>
          <w:bCs w:val="0"/>
          <w:sz w:val="28"/>
          <w:szCs w:val="28"/>
        </w:rPr>
        <w:instrText xml:space="preserve">TOC \o "1-1" \h \u </w:instrText>
      </w:r>
      <w:r>
        <w:rPr>
          <w:rFonts w:ascii="仿宋" w:hAnsi="仿宋" w:eastAsia="仿宋"/>
          <w:b w:val="0"/>
          <w:bCs w:val="0"/>
          <w:sz w:val="28"/>
          <w:szCs w:val="28"/>
        </w:rPr>
        <w:fldChar w:fldCharType="separate"/>
      </w:r>
      <w:r>
        <w:rPr>
          <w:rFonts w:ascii="仿宋" w:hAnsi="仿宋" w:eastAsia="仿宋"/>
          <w:bCs w:val="0"/>
          <w:szCs w:val="28"/>
        </w:rPr>
        <w:fldChar w:fldCharType="begin"/>
      </w:r>
      <w:r>
        <w:rPr>
          <w:rFonts w:ascii="仿宋" w:hAnsi="仿宋" w:eastAsia="仿宋"/>
          <w:bCs w:val="0"/>
          <w:szCs w:val="28"/>
        </w:rPr>
        <w:instrText xml:space="preserve"> HYPERLINK \l _Toc1784944227 </w:instrText>
      </w:r>
      <w:r>
        <w:rPr>
          <w:rFonts w:ascii="仿宋" w:hAnsi="仿宋" w:eastAsia="仿宋"/>
          <w:bCs w:val="0"/>
          <w:szCs w:val="28"/>
        </w:rPr>
        <w:fldChar w:fldCharType="separate"/>
      </w:r>
      <w:r>
        <w:rPr>
          <w:rFonts w:hint="eastAsia" w:ascii="黑体" w:hAnsi="黑体" w:eastAsia="黑体"/>
          <w:bCs w:val="0"/>
          <w:szCs w:val="32"/>
        </w:rPr>
        <w:t xml:space="preserve">前 </w:t>
      </w:r>
      <w:r>
        <w:rPr>
          <w:rFonts w:ascii="黑体" w:hAnsi="黑体" w:eastAsia="黑体"/>
          <w:bCs w:val="0"/>
          <w:szCs w:val="32"/>
        </w:rPr>
        <w:t xml:space="preserve"> </w:t>
      </w:r>
      <w:r>
        <w:rPr>
          <w:rFonts w:hint="eastAsia" w:ascii="黑体" w:hAnsi="黑体" w:eastAsia="黑体"/>
          <w:bCs w:val="0"/>
          <w:szCs w:val="32"/>
        </w:rPr>
        <w:t>言</w:t>
      </w:r>
      <w:r>
        <w:tab/>
      </w:r>
      <w:r>
        <w:fldChar w:fldCharType="begin"/>
      </w:r>
      <w:r>
        <w:instrText xml:space="preserve"> PAGEREF _Toc1784944227 </w:instrText>
      </w:r>
      <w:r>
        <w:fldChar w:fldCharType="separate"/>
      </w:r>
      <w:r>
        <w:t>1</w:t>
      </w:r>
      <w:r>
        <w:fldChar w:fldCharType="end"/>
      </w:r>
      <w:r>
        <w:rPr>
          <w:rFonts w:ascii="仿宋" w:hAnsi="仿宋" w:eastAsia="仿宋"/>
          <w:bCs w:val="0"/>
          <w:szCs w:val="28"/>
        </w:rPr>
        <w:fldChar w:fldCharType="end"/>
      </w:r>
    </w:p>
    <w:p>
      <w:pPr>
        <w:pStyle w:val="11"/>
        <w:tabs>
          <w:tab w:val="right" w:leader="dot" w:pos="8844"/>
        </w:tabs>
      </w:pPr>
      <w:r>
        <w:rPr>
          <w:rFonts w:ascii="仿宋" w:hAnsi="仿宋" w:eastAsia="仿宋"/>
          <w:bCs w:val="0"/>
          <w:szCs w:val="28"/>
        </w:rPr>
        <w:fldChar w:fldCharType="begin"/>
      </w:r>
      <w:r>
        <w:rPr>
          <w:rFonts w:ascii="仿宋" w:hAnsi="仿宋" w:eastAsia="仿宋"/>
          <w:bCs w:val="0"/>
          <w:szCs w:val="28"/>
        </w:rPr>
        <w:instrText xml:space="preserve"> HYPERLINK \l _Toc2041095418 </w:instrText>
      </w:r>
      <w:r>
        <w:rPr>
          <w:rFonts w:ascii="仿宋" w:hAnsi="仿宋" w:eastAsia="仿宋"/>
          <w:bCs w:val="0"/>
          <w:szCs w:val="28"/>
        </w:rPr>
        <w:fldChar w:fldCharType="separate"/>
      </w:r>
      <w:r>
        <w:rPr>
          <w:rFonts w:hint="eastAsia" w:ascii="方正小标宋简体" w:hAnsi="黑体" w:eastAsia="方正小标宋简体"/>
          <w:bCs w:val="0"/>
          <w:lang w:eastAsia="zh-CN"/>
        </w:rPr>
        <w:t>试点实施细则</w:t>
      </w:r>
      <w:r>
        <w:tab/>
      </w:r>
      <w:r>
        <w:fldChar w:fldCharType="begin"/>
      </w:r>
      <w:r>
        <w:instrText xml:space="preserve"> PAGEREF _Toc2041095418 </w:instrText>
      </w:r>
      <w:r>
        <w:fldChar w:fldCharType="separate"/>
      </w:r>
      <w:r>
        <w:t>2</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_Toc1827805764 </w:instrText>
      </w:r>
      <w:r>
        <w:rPr>
          <w:rFonts w:ascii="仿宋" w:hAnsi="仿宋" w:eastAsia="仿宋"/>
          <w:bCs w:val="0"/>
          <w:szCs w:val="28"/>
        </w:rPr>
        <w:fldChar w:fldCharType="separate"/>
      </w:r>
      <w:r>
        <w:rPr>
          <w:rFonts w:hint="eastAsia" w:ascii="黑体" w:hAnsi="黑体" w:eastAsia="黑体"/>
          <w:bCs w:val="0"/>
          <w:szCs w:val="32"/>
        </w:rPr>
        <w:t>第一章　总　则</w:t>
      </w:r>
      <w:r>
        <w:tab/>
      </w:r>
      <w:r>
        <w:fldChar w:fldCharType="begin"/>
      </w:r>
      <w:r>
        <w:instrText xml:space="preserve"> PAGEREF _Toc1827805764 </w:instrText>
      </w:r>
      <w:r>
        <w:fldChar w:fldCharType="separate"/>
      </w:r>
      <w:r>
        <w:t>2</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_Toc330264425 </w:instrText>
      </w:r>
      <w:r>
        <w:rPr>
          <w:rFonts w:ascii="仿宋" w:hAnsi="仿宋" w:eastAsia="仿宋"/>
          <w:bCs w:val="0"/>
          <w:szCs w:val="28"/>
        </w:rPr>
        <w:fldChar w:fldCharType="separate"/>
      </w:r>
      <w:r>
        <w:rPr>
          <w:rFonts w:hint="eastAsia" w:ascii="黑体" w:hAnsi="黑体" w:eastAsia="黑体"/>
          <w:bCs w:val="0"/>
          <w:szCs w:val="32"/>
        </w:rPr>
        <w:t>第二章　基本原则</w:t>
      </w:r>
      <w:r>
        <w:tab/>
      </w:r>
      <w:r>
        <w:fldChar w:fldCharType="begin"/>
      </w:r>
      <w:r>
        <w:instrText xml:space="preserve"> PAGEREF _Toc330264425 </w:instrText>
      </w:r>
      <w:r>
        <w:fldChar w:fldCharType="separate"/>
      </w:r>
      <w:r>
        <w:t>2</w:t>
      </w:r>
      <w:r>
        <w:fldChar w:fldCharType="end"/>
      </w:r>
      <w:r>
        <w:rPr>
          <w:rFonts w:ascii="仿宋" w:hAnsi="仿宋" w:eastAsia="仿宋"/>
          <w:bCs w:val="0"/>
          <w:szCs w:val="28"/>
        </w:rPr>
        <w:fldChar w:fldCharType="end"/>
      </w:r>
    </w:p>
    <w:p>
      <w:pPr>
        <w:pStyle w:val="11"/>
        <w:tabs>
          <w:tab w:val="right" w:leader="dot" w:pos="8844"/>
        </w:tabs>
        <w:outlineLvl w:val="9"/>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_Toc1467905717 </w:instrText>
      </w:r>
      <w:r>
        <w:rPr>
          <w:rFonts w:ascii="仿宋" w:hAnsi="仿宋" w:eastAsia="仿宋"/>
          <w:bCs w:val="0"/>
          <w:szCs w:val="28"/>
        </w:rPr>
        <w:fldChar w:fldCharType="separate"/>
      </w:r>
      <w:r>
        <w:rPr>
          <w:rFonts w:hint="eastAsia" w:ascii="黑体" w:hAnsi="黑体" w:eastAsia="黑体"/>
          <w:bCs w:val="0"/>
          <w:szCs w:val="32"/>
        </w:rPr>
        <w:t>第三章　试点的条件、申请与受理</w:t>
      </w:r>
      <w:r>
        <w:tab/>
      </w:r>
      <w:r>
        <w:fldChar w:fldCharType="begin"/>
      </w:r>
      <w:r>
        <w:instrText xml:space="preserve"> PAGEREF _Toc1467905717 </w:instrText>
      </w:r>
      <w:r>
        <w:fldChar w:fldCharType="separate"/>
      </w:r>
      <w:r>
        <w:t>3</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_Toc1709346033 </w:instrText>
      </w:r>
      <w:r>
        <w:rPr>
          <w:rFonts w:ascii="仿宋" w:hAnsi="仿宋" w:eastAsia="仿宋"/>
          <w:bCs w:val="0"/>
          <w:szCs w:val="28"/>
        </w:rPr>
        <w:fldChar w:fldCharType="separate"/>
      </w:r>
      <w:r>
        <w:rPr>
          <w:rFonts w:hint="eastAsia" w:ascii="黑体" w:hAnsi="黑体" w:eastAsia="黑体"/>
          <w:bCs w:val="0"/>
          <w:szCs w:val="32"/>
        </w:rPr>
        <w:t>第四章　试点的实施</w:t>
      </w:r>
      <w:r>
        <w:tab/>
      </w:r>
      <w:r>
        <w:fldChar w:fldCharType="begin"/>
      </w:r>
      <w:r>
        <w:instrText xml:space="preserve"> PAGEREF _Toc1709346033 </w:instrText>
      </w:r>
      <w:r>
        <w:fldChar w:fldCharType="separate"/>
      </w:r>
      <w:r>
        <w:t>5</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_Toc991806991 </w:instrText>
      </w:r>
      <w:r>
        <w:rPr>
          <w:rFonts w:ascii="仿宋" w:hAnsi="仿宋" w:eastAsia="仿宋"/>
          <w:bCs w:val="0"/>
          <w:szCs w:val="28"/>
        </w:rPr>
        <w:fldChar w:fldCharType="separate"/>
      </w:r>
      <w:r>
        <w:rPr>
          <w:rFonts w:hint="eastAsia" w:ascii="黑体" w:hAnsi="黑体" w:eastAsia="黑体"/>
          <w:bCs w:val="0"/>
          <w:szCs w:val="32"/>
        </w:rPr>
        <w:t>第五章　试点的评估</w:t>
      </w:r>
      <w:r>
        <w:rPr>
          <w:rFonts w:hint="eastAsia" w:ascii="黑体" w:hAnsi="黑体" w:eastAsia="黑体"/>
          <w:bCs w:val="0"/>
          <w:szCs w:val="32"/>
          <w:lang w:eastAsia="zh-CN"/>
        </w:rPr>
        <w:t>验收</w:t>
      </w:r>
      <w:r>
        <w:tab/>
      </w:r>
      <w:r>
        <w:fldChar w:fldCharType="begin"/>
      </w:r>
      <w:r>
        <w:instrText xml:space="preserve"> PAGEREF _Toc991806991 </w:instrText>
      </w:r>
      <w:r>
        <w:fldChar w:fldCharType="separate"/>
      </w:r>
      <w:r>
        <w:t>6</w:t>
      </w:r>
      <w:r>
        <w:fldChar w:fldCharType="end"/>
      </w:r>
      <w:r>
        <w:rPr>
          <w:rFonts w:ascii="仿宋" w:hAnsi="仿宋" w:eastAsia="仿宋"/>
          <w:bCs w:val="0"/>
          <w:szCs w:val="28"/>
        </w:rPr>
        <w:fldChar w:fldCharType="end"/>
      </w:r>
    </w:p>
    <w:p>
      <w:pPr>
        <w:pStyle w:val="11"/>
        <w:tabs>
          <w:tab w:val="right" w:leader="dot" w:pos="8844"/>
        </w:tabs>
      </w:pPr>
      <w:r>
        <w:rPr>
          <w:rFonts w:ascii="仿宋" w:hAnsi="仿宋" w:eastAsia="仿宋"/>
          <w:bCs w:val="0"/>
          <w:szCs w:val="28"/>
        </w:rPr>
        <w:fldChar w:fldCharType="begin"/>
      </w:r>
      <w:r>
        <w:rPr>
          <w:rFonts w:ascii="仿宋" w:hAnsi="仿宋" w:eastAsia="仿宋"/>
          <w:bCs w:val="0"/>
          <w:szCs w:val="28"/>
        </w:rPr>
        <w:instrText xml:space="preserve"> HYPERLINK \l _Toc1973286645 </w:instrText>
      </w:r>
      <w:r>
        <w:rPr>
          <w:rFonts w:ascii="仿宋" w:hAnsi="仿宋" w:eastAsia="仿宋"/>
          <w:bCs w:val="0"/>
          <w:szCs w:val="28"/>
        </w:rPr>
        <w:fldChar w:fldCharType="separate"/>
      </w:r>
      <w:r>
        <w:rPr>
          <w:rFonts w:hint="eastAsia" w:ascii="方正小标宋简体" w:hAnsi="黑体" w:eastAsia="方正小标宋简体"/>
          <w:bCs w:val="0"/>
          <w:lang w:eastAsia="zh-CN"/>
        </w:rPr>
        <w:t>试点建设指南</w:t>
      </w:r>
      <w:r>
        <w:tab/>
      </w:r>
      <w:r>
        <w:fldChar w:fldCharType="begin"/>
      </w:r>
      <w:r>
        <w:instrText xml:space="preserve"> PAGEREF _Toc1973286645 </w:instrText>
      </w:r>
      <w:r>
        <w:fldChar w:fldCharType="separate"/>
      </w:r>
      <w:r>
        <w:t>24</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_Toc375154630 </w:instrText>
      </w:r>
      <w:r>
        <w:rPr>
          <w:rFonts w:ascii="仿宋" w:hAnsi="仿宋" w:eastAsia="仿宋"/>
          <w:bCs w:val="0"/>
          <w:szCs w:val="28"/>
        </w:rPr>
        <w:fldChar w:fldCharType="separate"/>
      </w:r>
      <w:r>
        <w:rPr>
          <w:rFonts w:hint="eastAsia" w:ascii="黑体" w:hAnsi="黑体" w:eastAsia="黑体" w:cs="黑体"/>
          <w:bCs w:val="0"/>
          <w:szCs w:val="32"/>
          <w:lang w:eastAsia="zh-CN"/>
        </w:rPr>
        <w:t>第一章</w:t>
      </w:r>
      <w:r>
        <w:rPr>
          <w:rFonts w:hint="eastAsia" w:ascii="黑体" w:hAnsi="黑体" w:eastAsia="黑体" w:cs="黑体"/>
          <w:bCs w:val="0"/>
          <w:szCs w:val="32"/>
          <w:lang w:val="en-US" w:eastAsia="zh-CN"/>
        </w:rPr>
        <w:t xml:space="preserve"> </w:t>
      </w:r>
      <w:r>
        <w:rPr>
          <w:rFonts w:hint="eastAsia" w:ascii="黑体" w:hAnsi="黑体" w:eastAsia="黑体" w:cs="黑体"/>
          <w:bCs w:val="0"/>
          <w:szCs w:val="32"/>
          <w:lang w:eastAsia="zh-CN"/>
        </w:rPr>
        <w:t>试点建设工作</w:t>
      </w:r>
      <w:r>
        <w:tab/>
      </w:r>
      <w:r>
        <w:fldChar w:fldCharType="begin"/>
      </w:r>
      <w:r>
        <w:instrText xml:space="preserve"> PAGEREF _Toc375154630 </w:instrText>
      </w:r>
      <w:r>
        <w:fldChar w:fldCharType="separate"/>
      </w:r>
      <w:r>
        <w:t>24</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_Toc1494809270 </w:instrText>
      </w:r>
      <w:r>
        <w:rPr>
          <w:rFonts w:ascii="仿宋" w:hAnsi="仿宋" w:eastAsia="仿宋"/>
          <w:bCs w:val="0"/>
          <w:szCs w:val="28"/>
        </w:rPr>
        <w:fldChar w:fldCharType="separate"/>
      </w:r>
      <w:r>
        <w:rPr>
          <w:rFonts w:hint="eastAsia" w:ascii="黑体" w:hAnsi="黑体" w:eastAsia="黑体" w:cs="黑体"/>
          <w:bCs w:val="0"/>
          <w:szCs w:val="32"/>
          <w:lang w:val="en-US" w:eastAsia="zh-CN"/>
        </w:rPr>
        <w:t>第二章 商贸流通标准体系构建</w:t>
      </w:r>
      <w:r>
        <w:tab/>
      </w:r>
      <w:r>
        <w:fldChar w:fldCharType="begin"/>
      </w:r>
      <w:r>
        <w:instrText xml:space="preserve"> PAGEREF _Toc1494809270 </w:instrText>
      </w:r>
      <w:r>
        <w:fldChar w:fldCharType="separate"/>
      </w:r>
      <w:r>
        <w:t>40</w:t>
      </w:r>
      <w:r>
        <w:fldChar w:fldCharType="end"/>
      </w:r>
      <w:r>
        <w:rPr>
          <w:rFonts w:ascii="仿宋" w:hAnsi="仿宋" w:eastAsia="仿宋"/>
          <w:bCs w:val="0"/>
          <w:szCs w:val="28"/>
        </w:rPr>
        <w:fldChar w:fldCharType="end"/>
      </w:r>
    </w:p>
    <w:p>
      <w:pPr>
        <w:pStyle w:val="11"/>
        <w:tabs>
          <w:tab w:val="right" w:leader="dot" w:pos="8844"/>
        </w:tabs>
      </w:pPr>
      <w:r>
        <w:rPr>
          <w:rFonts w:hint="eastAsia" w:ascii="仿宋" w:hAnsi="仿宋" w:eastAsia="仿宋"/>
          <w:bCs w:val="0"/>
          <w:szCs w:val="28"/>
          <w:lang w:val="en-US" w:eastAsia="zh-CN"/>
        </w:rPr>
        <w:t xml:space="preserve">    </w:t>
      </w:r>
      <w:r>
        <w:rPr>
          <w:rFonts w:ascii="仿宋" w:hAnsi="仿宋" w:eastAsia="仿宋"/>
          <w:bCs w:val="0"/>
          <w:szCs w:val="28"/>
        </w:rPr>
        <w:fldChar w:fldCharType="begin"/>
      </w:r>
      <w:r>
        <w:rPr>
          <w:rFonts w:ascii="仿宋" w:hAnsi="仿宋" w:eastAsia="仿宋"/>
          <w:bCs w:val="0"/>
          <w:szCs w:val="28"/>
        </w:rPr>
        <w:instrText xml:space="preserve"> HYPERLINK \l _Toc22619838 </w:instrText>
      </w:r>
      <w:r>
        <w:rPr>
          <w:rFonts w:ascii="仿宋" w:hAnsi="仿宋" w:eastAsia="仿宋"/>
          <w:bCs w:val="0"/>
          <w:szCs w:val="28"/>
        </w:rPr>
        <w:fldChar w:fldCharType="separate"/>
      </w:r>
      <w:r>
        <w:rPr>
          <w:rFonts w:hint="eastAsia" w:ascii="黑体" w:hAnsi="黑体" w:eastAsia="黑体" w:cs="黑体"/>
          <w:bCs w:val="0"/>
          <w:szCs w:val="32"/>
          <w:lang w:val="en-US" w:eastAsia="zh-CN"/>
        </w:rPr>
        <w:t>第三章 标准化试点精选案例</w:t>
      </w:r>
      <w:r>
        <w:tab/>
      </w:r>
      <w:r>
        <w:fldChar w:fldCharType="begin"/>
      </w:r>
      <w:r>
        <w:instrText xml:space="preserve"> PAGEREF _Toc22619838 </w:instrText>
      </w:r>
      <w:r>
        <w:fldChar w:fldCharType="separate"/>
      </w:r>
      <w:r>
        <w:t>57</w:t>
      </w:r>
      <w:r>
        <w:fldChar w:fldCharType="end"/>
      </w:r>
      <w:r>
        <w:rPr>
          <w:rFonts w:ascii="仿宋" w:hAnsi="仿宋" w:eastAsia="仿宋"/>
          <w:bCs w:val="0"/>
          <w:szCs w:val="28"/>
        </w:rPr>
        <w:fldChar w:fldCharType="end"/>
      </w:r>
    </w:p>
    <w:p>
      <w:pPr>
        <w:pStyle w:val="11"/>
        <w:tabs>
          <w:tab w:val="right" w:leader="dot" w:pos="8844"/>
        </w:tabs>
        <w:rPr>
          <w:rFonts w:hint="eastAsia" w:ascii="黑体" w:hAnsi="黑体" w:eastAsia="黑体"/>
          <w:bCs w:val="0"/>
          <w:szCs w:val="32"/>
        </w:rPr>
      </w:pPr>
      <w:r>
        <w:rPr>
          <w:rFonts w:hint="eastAsia" w:ascii="黑体" w:hAnsi="黑体" w:eastAsia="黑体"/>
          <w:bCs w:val="0"/>
          <w:szCs w:val="32"/>
        </w:rPr>
        <w:fldChar w:fldCharType="begin"/>
      </w:r>
      <w:r>
        <w:rPr>
          <w:rFonts w:hint="eastAsia" w:ascii="黑体" w:hAnsi="黑体" w:eastAsia="黑体"/>
          <w:bCs w:val="0"/>
          <w:szCs w:val="32"/>
        </w:rPr>
        <w:instrText xml:space="preserve"> HYPERLINK \l _Toc962806587 </w:instrText>
      </w:r>
      <w:r>
        <w:rPr>
          <w:rFonts w:hint="eastAsia" w:ascii="黑体" w:hAnsi="黑体" w:eastAsia="黑体"/>
          <w:bCs w:val="0"/>
          <w:szCs w:val="32"/>
        </w:rPr>
        <w:fldChar w:fldCharType="separate"/>
      </w:r>
      <w:r>
        <w:rPr>
          <w:rFonts w:hint="eastAsia" w:ascii="方正小标宋简体" w:hAnsi="黑体" w:eastAsia="方正小标宋简体"/>
          <w:bCs w:val="0"/>
          <w:lang w:eastAsia="zh-CN"/>
        </w:rPr>
        <w:t>试点参考资料</w:t>
      </w:r>
      <w:r>
        <w:rPr>
          <w:rFonts w:hint="eastAsia" w:ascii="黑体" w:hAnsi="黑体" w:eastAsia="黑体"/>
          <w:bCs w:val="0"/>
          <w:szCs w:val="32"/>
        </w:rPr>
        <w:tab/>
      </w:r>
      <w:r>
        <w:rPr>
          <w:rFonts w:hint="eastAsia" w:ascii="黑体" w:hAnsi="黑体" w:eastAsia="黑体"/>
          <w:bCs w:val="0"/>
          <w:szCs w:val="32"/>
        </w:rPr>
        <w:fldChar w:fldCharType="begin"/>
      </w:r>
      <w:r>
        <w:rPr>
          <w:rFonts w:hint="eastAsia" w:ascii="黑体" w:hAnsi="黑体" w:eastAsia="黑体"/>
          <w:bCs w:val="0"/>
          <w:szCs w:val="32"/>
        </w:rPr>
        <w:instrText xml:space="preserve"> PAGEREF _Toc962806587 </w:instrText>
      </w:r>
      <w:r>
        <w:rPr>
          <w:rFonts w:hint="eastAsia" w:ascii="黑体" w:hAnsi="黑体" w:eastAsia="黑体"/>
          <w:bCs w:val="0"/>
          <w:szCs w:val="32"/>
        </w:rPr>
        <w:fldChar w:fldCharType="separate"/>
      </w:r>
      <w:r>
        <w:rPr>
          <w:rFonts w:hint="eastAsia" w:ascii="黑体" w:hAnsi="黑体" w:eastAsia="黑体"/>
          <w:bCs w:val="0"/>
          <w:szCs w:val="32"/>
        </w:rPr>
        <w:t>95</w:t>
      </w:r>
      <w:r>
        <w:rPr>
          <w:rFonts w:hint="eastAsia" w:ascii="黑体" w:hAnsi="黑体" w:eastAsia="黑体"/>
          <w:bCs w:val="0"/>
          <w:szCs w:val="32"/>
        </w:rPr>
        <w:fldChar w:fldCharType="end"/>
      </w:r>
      <w:r>
        <w:rPr>
          <w:rFonts w:hint="eastAsia" w:ascii="黑体" w:hAnsi="黑体" w:eastAsia="黑体"/>
          <w:bCs w:val="0"/>
          <w:szCs w:val="32"/>
        </w:rPr>
        <w:fldChar w:fldCharType="end"/>
      </w:r>
    </w:p>
    <w:p>
      <w:pPr>
        <w:pStyle w:val="11"/>
        <w:tabs>
          <w:tab w:val="right" w:leader="dot" w:pos="8844"/>
        </w:tabs>
        <w:rPr>
          <w:rFonts w:hint="eastAsia" w:ascii="黑体" w:hAnsi="黑体" w:eastAsia="黑体"/>
          <w:bCs w:val="0"/>
          <w:szCs w:val="32"/>
        </w:rPr>
      </w:pPr>
      <w:r>
        <w:rPr>
          <w:rFonts w:hint="eastAsia" w:ascii="黑体" w:hAnsi="黑体" w:eastAsia="黑体"/>
          <w:bCs w:val="0"/>
          <w:szCs w:val="32"/>
          <w:lang w:val="en-US" w:eastAsia="zh-CN"/>
        </w:rPr>
        <w:t xml:space="preserve">    </w:t>
      </w:r>
      <w:r>
        <w:rPr>
          <w:rFonts w:hint="eastAsia" w:ascii="黑体" w:hAnsi="黑体" w:eastAsia="黑体"/>
          <w:bCs w:val="0"/>
          <w:szCs w:val="32"/>
        </w:rPr>
        <w:fldChar w:fldCharType="begin"/>
      </w:r>
      <w:r>
        <w:rPr>
          <w:rFonts w:hint="eastAsia" w:ascii="黑体" w:hAnsi="黑体" w:eastAsia="黑体"/>
          <w:bCs w:val="0"/>
          <w:szCs w:val="32"/>
        </w:rPr>
        <w:instrText xml:space="preserve"> HYPERLINK \l _Toc1538243211 </w:instrText>
      </w:r>
      <w:r>
        <w:rPr>
          <w:rFonts w:hint="eastAsia" w:ascii="黑体" w:hAnsi="黑体" w:eastAsia="黑体"/>
          <w:bCs w:val="0"/>
          <w:szCs w:val="32"/>
        </w:rPr>
        <w:fldChar w:fldCharType="separate"/>
      </w:r>
      <w:r>
        <w:rPr>
          <w:rFonts w:hint="eastAsia" w:ascii="黑体" w:hAnsi="黑体" w:eastAsia="黑体"/>
          <w:bCs w:val="0"/>
          <w:szCs w:val="32"/>
        </w:rPr>
        <w:t>商务领域标准化管理办法</w:t>
      </w:r>
      <w:r>
        <w:rPr>
          <w:rFonts w:hint="eastAsia" w:ascii="黑体" w:hAnsi="黑体" w:eastAsia="黑体"/>
          <w:bCs w:val="0"/>
          <w:szCs w:val="32"/>
        </w:rPr>
        <w:tab/>
      </w:r>
      <w:r>
        <w:rPr>
          <w:rFonts w:hint="eastAsia" w:ascii="黑体" w:hAnsi="黑体" w:eastAsia="黑体"/>
          <w:bCs w:val="0"/>
          <w:szCs w:val="32"/>
        </w:rPr>
        <w:fldChar w:fldCharType="begin"/>
      </w:r>
      <w:r>
        <w:rPr>
          <w:rFonts w:hint="eastAsia" w:ascii="黑体" w:hAnsi="黑体" w:eastAsia="黑体"/>
          <w:bCs w:val="0"/>
          <w:szCs w:val="32"/>
        </w:rPr>
        <w:instrText xml:space="preserve"> PAGEREF _Toc1538243211 </w:instrText>
      </w:r>
      <w:r>
        <w:rPr>
          <w:rFonts w:hint="eastAsia" w:ascii="黑体" w:hAnsi="黑体" w:eastAsia="黑体"/>
          <w:bCs w:val="0"/>
          <w:szCs w:val="32"/>
        </w:rPr>
        <w:fldChar w:fldCharType="separate"/>
      </w:r>
      <w:r>
        <w:rPr>
          <w:rFonts w:hint="eastAsia" w:ascii="黑体" w:hAnsi="黑体" w:eastAsia="黑体"/>
          <w:bCs w:val="0"/>
          <w:szCs w:val="32"/>
        </w:rPr>
        <w:t>96</w:t>
      </w:r>
      <w:r>
        <w:rPr>
          <w:rFonts w:hint="eastAsia" w:ascii="黑体" w:hAnsi="黑体" w:eastAsia="黑体"/>
          <w:bCs w:val="0"/>
          <w:szCs w:val="32"/>
        </w:rPr>
        <w:fldChar w:fldCharType="end"/>
      </w:r>
      <w:r>
        <w:rPr>
          <w:rFonts w:hint="eastAsia" w:ascii="黑体" w:hAnsi="黑体" w:eastAsia="黑体"/>
          <w:bCs w:val="0"/>
          <w:szCs w:val="32"/>
        </w:rPr>
        <w:fldChar w:fldCharType="end"/>
      </w:r>
    </w:p>
    <w:p>
      <w:pPr>
        <w:pStyle w:val="11"/>
        <w:tabs>
          <w:tab w:val="right" w:leader="dot" w:pos="8844"/>
        </w:tabs>
        <w:rPr>
          <w:rFonts w:hint="eastAsia"/>
        </w:rPr>
      </w:pPr>
      <w:r>
        <w:rPr>
          <w:rFonts w:hint="eastAsia" w:ascii="黑体" w:hAnsi="黑体" w:eastAsia="黑体"/>
          <w:bCs w:val="0"/>
          <w:szCs w:val="32"/>
          <w:lang w:val="en-US" w:eastAsia="zh-CN"/>
        </w:rPr>
        <w:t xml:space="preserve"> </w:t>
      </w:r>
      <w:r>
        <w:rPr>
          <w:rFonts w:hint="eastAsia" w:ascii="黑体" w:hAnsi="黑体" w:eastAsia="黑体" w:cs="黑体"/>
          <w:bCs w:val="0"/>
          <w:szCs w:val="32"/>
          <w:lang w:val="en-US" w:eastAsia="zh-CN"/>
        </w:rPr>
        <w:t xml:space="preserve">   </w:t>
      </w:r>
      <w:r>
        <w:rPr>
          <w:rFonts w:hint="eastAsia" w:ascii="黑体" w:hAnsi="黑体" w:eastAsia="黑体" w:cs="黑体"/>
          <w:bCs w:val="0"/>
          <w:szCs w:val="32"/>
          <w:lang w:eastAsia="zh-CN"/>
        </w:rPr>
        <w:fldChar w:fldCharType="begin"/>
      </w:r>
      <w:r>
        <w:rPr>
          <w:rFonts w:hint="eastAsia" w:ascii="黑体" w:hAnsi="黑体" w:eastAsia="黑体" w:cs="黑体"/>
          <w:bCs w:val="0"/>
          <w:szCs w:val="32"/>
          <w:lang w:eastAsia="zh-CN"/>
        </w:rPr>
        <w:instrText xml:space="preserve"> HYPERLINK \l _Toc1606151621 </w:instrText>
      </w:r>
      <w:r>
        <w:rPr>
          <w:rFonts w:hint="eastAsia" w:ascii="黑体" w:hAnsi="黑体" w:eastAsia="黑体" w:cs="黑体"/>
          <w:bCs w:val="0"/>
          <w:szCs w:val="32"/>
          <w:lang w:eastAsia="zh-CN"/>
        </w:rPr>
        <w:fldChar w:fldCharType="separate"/>
      </w:r>
      <w:r>
        <w:rPr>
          <w:rFonts w:hint="eastAsia" w:ascii="黑体" w:hAnsi="黑体" w:eastAsia="黑体" w:cs="黑体"/>
          <w:bCs w:val="0"/>
          <w:szCs w:val="32"/>
          <w:lang w:eastAsia="zh-CN"/>
        </w:rPr>
        <w:t>商务部关于加强“十四五”时期商务领域标准化建设的指导意见</w:t>
      </w:r>
      <w:r>
        <w:rPr>
          <w:rFonts w:hint="eastAsia" w:ascii="黑体" w:hAnsi="黑体" w:eastAsia="黑体" w:cs="黑体"/>
          <w:bCs w:val="0"/>
          <w:szCs w:val="32"/>
          <w:lang w:eastAsia="zh-CN"/>
        </w:rPr>
        <w:tab/>
      </w:r>
      <w:r>
        <w:rPr>
          <w:rFonts w:hint="eastAsia" w:ascii="黑体" w:hAnsi="黑体" w:eastAsia="黑体" w:cs="黑体"/>
          <w:bCs w:val="0"/>
          <w:szCs w:val="32"/>
          <w:lang w:eastAsia="zh-CN"/>
        </w:rPr>
        <w:fldChar w:fldCharType="begin"/>
      </w:r>
      <w:r>
        <w:rPr>
          <w:rFonts w:hint="eastAsia" w:ascii="黑体" w:hAnsi="黑体" w:eastAsia="黑体" w:cs="黑体"/>
          <w:bCs w:val="0"/>
          <w:szCs w:val="32"/>
          <w:lang w:eastAsia="zh-CN"/>
        </w:rPr>
        <w:instrText xml:space="preserve"> PAGEREF _Toc1606151621 </w:instrText>
      </w:r>
      <w:r>
        <w:rPr>
          <w:rFonts w:hint="eastAsia" w:ascii="黑体" w:hAnsi="黑体" w:eastAsia="黑体" w:cs="黑体"/>
          <w:bCs w:val="0"/>
          <w:szCs w:val="32"/>
          <w:lang w:eastAsia="zh-CN"/>
        </w:rPr>
        <w:fldChar w:fldCharType="separate"/>
      </w:r>
      <w:r>
        <w:rPr>
          <w:rFonts w:hint="eastAsia" w:ascii="黑体" w:hAnsi="黑体" w:eastAsia="黑体" w:cs="黑体"/>
          <w:bCs w:val="0"/>
          <w:szCs w:val="32"/>
          <w:lang w:eastAsia="zh-CN"/>
        </w:rPr>
        <w:t>105</w:t>
      </w:r>
      <w:r>
        <w:rPr>
          <w:rFonts w:hint="eastAsia" w:ascii="黑体" w:hAnsi="黑体" w:eastAsia="黑体" w:cs="黑体"/>
          <w:bCs w:val="0"/>
          <w:szCs w:val="32"/>
          <w:lang w:eastAsia="zh-CN"/>
        </w:rPr>
        <w:fldChar w:fldCharType="end"/>
      </w:r>
      <w:r>
        <w:rPr>
          <w:rFonts w:hint="eastAsia" w:ascii="黑体" w:hAnsi="黑体" w:eastAsia="黑体" w:cs="黑体"/>
          <w:bCs w:val="0"/>
          <w:szCs w:val="32"/>
          <w:lang w:eastAsia="zh-CN"/>
        </w:rPr>
        <w:fldChar w:fldCharType="end"/>
      </w:r>
    </w:p>
    <w:p>
      <w:pPr>
        <w:pStyle w:val="11"/>
        <w:tabs>
          <w:tab w:val="right" w:leader="dot" w:pos="8844"/>
        </w:tabs>
        <w:rPr>
          <w:rFonts w:hint="eastAsia" w:ascii="黑体" w:hAnsi="黑体" w:eastAsia="黑体"/>
          <w:bCs w:val="0"/>
          <w:szCs w:val="32"/>
        </w:rPr>
      </w:pPr>
      <w:r>
        <w:rPr>
          <w:rFonts w:hint="eastAsia" w:ascii="黑体" w:hAnsi="黑体" w:eastAsia="黑体"/>
          <w:bCs w:val="0"/>
          <w:szCs w:val="32"/>
          <w:lang w:val="en-US" w:eastAsia="zh-CN"/>
        </w:rPr>
        <w:t xml:space="preserve">    </w:t>
      </w:r>
      <w:r>
        <w:rPr>
          <w:rFonts w:hint="eastAsia" w:ascii="黑体" w:hAnsi="黑体" w:eastAsia="黑体"/>
          <w:bCs w:val="0"/>
          <w:szCs w:val="32"/>
        </w:rPr>
        <w:fldChar w:fldCharType="begin"/>
      </w:r>
      <w:r>
        <w:rPr>
          <w:rFonts w:hint="eastAsia" w:ascii="黑体" w:hAnsi="黑体" w:eastAsia="黑体"/>
          <w:bCs w:val="0"/>
          <w:szCs w:val="32"/>
        </w:rPr>
        <w:instrText xml:space="preserve"> HYPERLINK \l _Toc931858816 </w:instrText>
      </w:r>
      <w:r>
        <w:rPr>
          <w:rFonts w:hint="eastAsia" w:ascii="黑体" w:hAnsi="黑体" w:eastAsia="黑体"/>
          <w:bCs w:val="0"/>
          <w:szCs w:val="32"/>
        </w:rPr>
        <w:fldChar w:fldCharType="separate"/>
      </w:r>
      <w:r>
        <w:rPr>
          <w:rFonts w:hint="eastAsia" w:ascii="黑体" w:hAnsi="黑体" w:eastAsia="黑体"/>
          <w:bCs w:val="0"/>
          <w:szCs w:val="32"/>
        </w:rPr>
        <w:t>商务领域（SB、WM）行业标准管理范围</w:t>
      </w:r>
      <w:r>
        <w:rPr>
          <w:rFonts w:hint="eastAsia" w:ascii="黑体" w:hAnsi="黑体" w:eastAsia="黑体"/>
          <w:bCs w:val="0"/>
          <w:szCs w:val="32"/>
        </w:rPr>
        <w:tab/>
      </w:r>
      <w:r>
        <w:rPr>
          <w:rFonts w:hint="eastAsia" w:ascii="黑体" w:hAnsi="黑体" w:eastAsia="黑体"/>
          <w:bCs w:val="0"/>
          <w:szCs w:val="32"/>
        </w:rPr>
        <w:fldChar w:fldCharType="begin"/>
      </w:r>
      <w:r>
        <w:rPr>
          <w:rFonts w:hint="eastAsia" w:ascii="黑体" w:hAnsi="黑体" w:eastAsia="黑体"/>
          <w:bCs w:val="0"/>
          <w:szCs w:val="32"/>
        </w:rPr>
        <w:instrText xml:space="preserve"> PAGEREF _Toc931858816 </w:instrText>
      </w:r>
      <w:r>
        <w:rPr>
          <w:rFonts w:hint="eastAsia" w:ascii="黑体" w:hAnsi="黑体" w:eastAsia="黑体"/>
          <w:bCs w:val="0"/>
          <w:szCs w:val="32"/>
        </w:rPr>
        <w:fldChar w:fldCharType="separate"/>
      </w:r>
      <w:r>
        <w:rPr>
          <w:rFonts w:hint="eastAsia" w:ascii="黑体" w:hAnsi="黑体" w:eastAsia="黑体"/>
          <w:bCs w:val="0"/>
          <w:szCs w:val="32"/>
        </w:rPr>
        <w:t>113</w:t>
      </w:r>
      <w:r>
        <w:rPr>
          <w:rFonts w:hint="eastAsia" w:ascii="黑体" w:hAnsi="黑体" w:eastAsia="黑体"/>
          <w:bCs w:val="0"/>
          <w:szCs w:val="32"/>
        </w:rPr>
        <w:fldChar w:fldCharType="end"/>
      </w:r>
      <w:r>
        <w:rPr>
          <w:rFonts w:hint="eastAsia" w:ascii="黑体" w:hAnsi="黑体" w:eastAsia="黑体"/>
          <w:bCs w:val="0"/>
          <w:szCs w:val="32"/>
        </w:rPr>
        <w:fldChar w:fldCharType="end"/>
      </w:r>
    </w:p>
    <w:p>
      <w:pPr>
        <w:pStyle w:val="11"/>
        <w:tabs>
          <w:tab w:val="right" w:leader="dot" w:pos="8844"/>
        </w:tabs>
      </w:pPr>
      <w:r>
        <w:rPr>
          <w:rFonts w:hint="eastAsia" w:ascii="黑体" w:hAnsi="黑体" w:eastAsia="黑体"/>
          <w:bCs w:val="0"/>
          <w:szCs w:val="32"/>
          <w:lang w:val="en-US" w:eastAsia="zh-CN"/>
        </w:rPr>
        <w:t xml:space="preserve">    </w:t>
      </w:r>
      <w:r>
        <w:rPr>
          <w:rFonts w:hint="eastAsia" w:ascii="黑体" w:hAnsi="黑体" w:eastAsia="黑体"/>
          <w:bCs w:val="0"/>
          <w:szCs w:val="32"/>
        </w:rPr>
        <w:fldChar w:fldCharType="begin"/>
      </w:r>
      <w:r>
        <w:rPr>
          <w:rFonts w:hint="eastAsia" w:ascii="黑体" w:hAnsi="黑体" w:eastAsia="黑体"/>
          <w:bCs w:val="0"/>
          <w:szCs w:val="32"/>
        </w:rPr>
        <w:instrText xml:space="preserve"> HYPERLINK \l _Toc750725799 </w:instrText>
      </w:r>
      <w:r>
        <w:rPr>
          <w:rFonts w:hint="eastAsia" w:ascii="黑体" w:hAnsi="黑体" w:eastAsia="黑体"/>
          <w:bCs w:val="0"/>
          <w:szCs w:val="32"/>
        </w:rPr>
        <w:fldChar w:fldCharType="separate"/>
      </w:r>
      <w:r>
        <w:rPr>
          <w:rFonts w:hint="eastAsia" w:ascii="黑体" w:hAnsi="黑体" w:eastAsia="黑体"/>
          <w:bCs w:val="0"/>
          <w:szCs w:val="32"/>
          <w:lang w:val="en-US" w:eastAsia="zh-CN"/>
        </w:rPr>
        <w:t>商务领域相关标准参考目录</w:t>
      </w:r>
      <w:r>
        <w:rPr>
          <w:rFonts w:hint="eastAsia" w:ascii="黑体" w:hAnsi="黑体" w:eastAsia="黑体"/>
          <w:bCs w:val="0"/>
          <w:szCs w:val="32"/>
        </w:rPr>
        <w:tab/>
      </w:r>
      <w:r>
        <w:rPr>
          <w:rFonts w:hint="eastAsia" w:ascii="黑体" w:hAnsi="黑体" w:eastAsia="黑体"/>
          <w:bCs w:val="0"/>
          <w:szCs w:val="32"/>
        </w:rPr>
        <w:fldChar w:fldCharType="begin"/>
      </w:r>
      <w:r>
        <w:rPr>
          <w:rFonts w:hint="eastAsia" w:ascii="黑体" w:hAnsi="黑体" w:eastAsia="黑体"/>
          <w:bCs w:val="0"/>
          <w:szCs w:val="32"/>
        </w:rPr>
        <w:instrText xml:space="preserve"> PAGEREF _Toc750725799 </w:instrText>
      </w:r>
      <w:r>
        <w:rPr>
          <w:rFonts w:hint="eastAsia" w:ascii="黑体" w:hAnsi="黑体" w:eastAsia="黑体"/>
          <w:bCs w:val="0"/>
          <w:szCs w:val="32"/>
        </w:rPr>
        <w:fldChar w:fldCharType="separate"/>
      </w:r>
      <w:r>
        <w:rPr>
          <w:rFonts w:hint="eastAsia" w:ascii="黑体" w:hAnsi="黑体" w:eastAsia="黑体"/>
          <w:bCs w:val="0"/>
          <w:szCs w:val="32"/>
        </w:rPr>
        <w:t>116</w:t>
      </w:r>
      <w:r>
        <w:rPr>
          <w:rFonts w:hint="eastAsia" w:ascii="黑体" w:hAnsi="黑体" w:eastAsia="黑体"/>
          <w:bCs w:val="0"/>
          <w:szCs w:val="32"/>
        </w:rPr>
        <w:fldChar w:fldCharType="end"/>
      </w:r>
      <w:r>
        <w:rPr>
          <w:rFonts w:hint="eastAsia" w:ascii="黑体" w:hAnsi="黑体" w:eastAsia="黑体"/>
          <w:bCs w:val="0"/>
          <w:szCs w:val="32"/>
        </w:rPr>
        <w:fldChar w:fldCharType="end"/>
      </w:r>
    </w:p>
    <w:p>
      <w:pPr>
        <w:pStyle w:val="2"/>
        <w:jc w:val="center"/>
        <w:rPr>
          <w:rFonts w:ascii="仿宋" w:hAnsi="仿宋" w:eastAsia="仿宋"/>
          <w:b w:val="0"/>
          <w:bCs w:val="0"/>
          <w:sz w:val="28"/>
          <w:szCs w:val="28"/>
        </w:rPr>
      </w:pPr>
      <w:r>
        <w:rPr>
          <w:rFonts w:ascii="仿宋" w:hAnsi="仿宋" w:eastAsia="仿宋"/>
          <w:bCs w:val="0"/>
          <w:szCs w:val="28"/>
        </w:rPr>
        <w:fldChar w:fldCharType="end"/>
      </w:r>
    </w:p>
    <w:p>
      <w:pPr>
        <w:rPr>
          <w:rFonts w:hint="eastAsia"/>
        </w:rPr>
      </w:pPr>
    </w:p>
    <w:p>
      <w:pPr>
        <w:pStyle w:val="2"/>
        <w:jc w:val="center"/>
        <w:rPr>
          <w:rFonts w:ascii="黑体" w:hAnsi="黑体" w:eastAsia="黑体"/>
          <w:b w:val="0"/>
          <w:bCs w:val="0"/>
          <w:sz w:val="32"/>
          <w:szCs w:val="32"/>
        </w:rPr>
      </w:pPr>
      <w:bookmarkStart w:id="0" w:name="_Toc87536594"/>
      <w:bookmarkStart w:id="1" w:name="_Toc1784944227"/>
      <w:r>
        <w:rPr>
          <w:rFonts w:hint="eastAsia" w:ascii="方正小标宋简体" w:hAnsi="方正小标宋简体" w:eastAsia="方正小标宋简体" w:cs="方正小标宋简体"/>
          <w:b w:val="0"/>
          <w:bCs w:val="0"/>
          <w:sz w:val="32"/>
          <w:szCs w:val="32"/>
        </w:rPr>
        <w:t>前  言</w:t>
      </w:r>
      <w:bookmarkEnd w:id="0"/>
      <w:bookmarkEnd w:id="1"/>
    </w:p>
    <w:p>
      <w:pPr>
        <w:spacing w:line="594"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lang w:eastAsia="zh-CN"/>
          <w14:textFill>
            <w14:solidFill>
              <w14:schemeClr w14:val="tx1"/>
            </w14:solidFill>
          </w14:textFill>
        </w:rPr>
        <w:t>全面</w:t>
      </w:r>
      <w:r>
        <w:rPr>
          <w:rFonts w:hint="eastAsia" w:ascii="仿宋" w:hAnsi="仿宋" w:eastAsia="仿宋"/>
          <w:color w:val="000000" w:themeColor="text1"/>
          <w:sz w:val="32"/>
          <w:szCs w:val="32"/>
          <w14:textFill>
            <w14:solidFill>
              <w14:schemeClr w14:val="tx1"/>
            </w14:solidFill>
          </w14:textFill>
        </w:rPr>
        <w:t>贯彻习近平新时代中国特色社会主义思想，落实党的十九届五中全会和中央财经委第八次会议关于“完善现代商贸流通体系”“加强标准化建设”的决策部署，</w:t>
      </w:r>
      <w:r>
        <w:rPr>
          <w:rFonts w:hint="eastAsia" w:ascii="仿宋" w:hAnsi="仿宋" w:eastAsia="仿宋"/>
          <w:color w:val="000000" w:themeColor="text1"/>
          <w:sz w:val="32"/>
          <w:szCs w:val="32"/>
          <w:lang w:eastAsia="zh-CN"/>
          <w14:textFill>
            <w14:solidFill>
              <w14:schemeClr w14:val="tx1"/>
            </w14:solidFill>
          </w14:textFill>
        </w:rPr>
        <w:t>立足新发展阶段，完整、准确、全面贯彻</w:t>
      </w:r>
      <w:r>
        <w:rPr>
          <w:rFonts w:hint="eastAsia" w:ascii="仿宋" w:hAnsi="仿宋" w:eastAsia="仿宋"/>
          <w:color w:val="000000" w:themeColor="text1"/>
          <w:sz w:val="32"/>
          <w:szCs w:val="32"/>
          <w14:textFill>
            <w14:solidFill>
              <w14:schemeClr w14:val="tx1"/>
            </w14:solidFill>
          </w14:textFill>
        </w:rPr>
        <w:t>新发展理念，大力推进标准化建设，充分发挥标准在现代商贸流通体系建设中的基础性、引领性作用，促进</w:t>
      </w:r>
      <w:r>
        <w:rPr>
          <w:rFonts w:hint="eastAsia" w:ascii="仿宋" w:hAnsi="仿宋" w:eastAsia="仿宋"/>
          <w:color w:val="000000" w:themeColor="text1"/>
          <w:sz w:val="32"/>
          <w:szCs w:val="32"/>
          <w:lang w:eastAsia="zh-CN"/>
          <w14:textFill>
            <w14:solidFill>
              <w14:schemeClr w14:val="tx1"/>
            </w14:solidFill>
          </w14:textFill>
        </w:rPr>
        <w:t>国内外标准互联互通</w:t>
      </w:r>
      <w:r>
        <w:rPr>
          <w:rFonts w:hint="eastAsia" w:ascii="仿宋" w:hAnsi="仿宋" w:eastAsia="仿宋"/>
          <w:color w:val="000000" w:themeColor="text1"/>
          <w:sz w:val="32"/>
          <w:szCs w:val="32"/>
          <w14:textFill>
            <w14:solidFill>
              <w14:schemeClr w14:val="tx1"/>
            </w14:solidFill>
          </w14:textFill>
        </w:rPr>
        <w:t>和商贸流通高质量发展，依据服务业标准化建设总体要求，结合商贸流通标准化工作实际，商务部、市场监管总局印发</w:t>
      </w:r>
      <w:r>
        <w:rPr>
          <w:rFonts w:hint="eastAsia" w:ascii="仿宋" w:hAnsi="仿宋" w:eastAsia="仿宋"/>
          <w:color w:val="000000" w:themeColor="text1"/>
          <w:sz w:val="32"/>
          <w:szCs w:val="32"/>
          <w:lang w:eastAsia="zh-CN"/>
          <w14:textFill>
            <w14:solidFill>
              <w14:schemeClr w14:val="tx1"/>
            </w14:solidFill>
          </w14:textFill>
        </w:rPr>
        <w:t>了</w:t>
      </w:r>
      <w:r>
        <w:rPr>
          <w:rFonts w:hint="eastAsia" w:ascii="仿宋" w:hAnsi="仿宋" w:eastAsia="仿宋"/>
          <w:color w:val="000000" w:themeColor="text1"/>
          <w:sz w:val="32"/>
          <w:szCs w:val="32"/>
          <w14:textFill>
            <w14:solidFill>
              <w14:schemeClr w14:val="tx1"/>
            </w14:solidFill>
          </w14:textFill>
        </w:rPr>
        <w:t>《商务部</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市场监管总局关于开展国家级服务业标准化试点（商贸流通专项）的通知》（商建函[2021]132号）</w:t>
      </w:r>
      <w:r>
        <w:rPr>
          <w:rFonts w:hint="eastAsia" w:ascii="仿宋" w:hAnsi="仿宋" w:eastAsia="仿宋"/>
          <w:color w:val="000000" w:themeColor="text1"/>
          <w:sz w:val="32"/>
          <w:szCs w:val="32"/>
          <w:lang w:eastAsia="zh-CN"/>
          <w14:textFill>
            <w14:solidFill>
              <w14:schemeClr w14:val="tx1"/>
            </w14:solidFill>
          </w14:textFill>
        </w:rPr>
        <w:t>，启动试点工作</w:t>
      </w:r>
      <w:r>
        <w:rPr>
          <w:rFonts w:hint="eastAsia" w:ascii="仿宋" w:hAnsi="仿宋" w:eastAsia="仿宋"/>
          <w:color w:val="000000" w:themeColor="text1"/>
          <w:sz w:val="32"/>
          <w:szCs w:val="32"/>
          <w14:textFill>
            <w14:solidFill>
              <w14:schemeClr w14:val="tx1"/>
            </w14:solidFill>
          </w14:textFill>
        </w:rPr>
        <w:t xml:space="preserve">。       </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试点主要围绕内外</w:t>
      </w:r>
      <w:r>
        <w:rPr>
          <w:rFonts w:hint="eastAsia" w:ascii="仿宋" w:hAnsi="仿宋" w:eastAsia="仿宋"/>
          <w:sz w:val="32"/>
          <w:szCs w:val="32"/>
          <w:lang w:eastAsia="zh-CN"/>
        </w:rPr>
        <w:t>贸</w:t>
      </w:r>
      <w:r>
        <w:rPr>
          <w:rFonts w:hint="eastAsia" w:ascii="仿宋" w:hAnsi="仿宋" w:eastAsia="仿宋"/>
          <w:sz w:val="32"/>
          <w:szCs w:val="32"/>
        </w:rPr>
        <w:t>一体化、商贸流通提质增效两个方向开展。聚焦商贸流通体系建设的重点方向和关键领域，通过开展试点工作，推动各地区、行业、各类市场主体在标准制定、实施、应用方面开拓创新，推出一批标准，树立一批标杆</w:t>
      </w:r>
      <w:r>
        <w:rPr>
          <w:rFonts w:hint="eastAsia" w:ascii="仿宋" w:hAnsi="仿宋" w:eastAsia="仿宋"/>
          <w:sz w:val="32"/>
          <w:szCs w:val="32"/>
          <w:lang w:eastAsia="zh-CN"/>
        </w:rPr>
        <w:t>，</w:t>
      </w:r>
      <w:r>
        <w:rPr>
          <w:rFonts w:hint="eastAsia" w:ascii="仿宋" w:hAnsi="仿宋" w:eastAsia="仿宋"/>
          <w:sz w:val="32"/>
          <w:szCs w:val="32"/>
        </w:rPr>
        <w:t>总结提炼一批可复制推广的成功经验，全面提升全国商贸流通标准化水平，加快推进商贸流通现代化</w:t>
      </w:r>
      <w:r>
        <w:rPr>
          <w:rFonts w:hint="eastAsia" w:ascii="仿宋" w:hAnsi="仿宋" w:eastAsia="仿宋"/>
          <w:sz w:val="32"/>
          <w:szCs w:val="32"/>
          <w:lang w:eastAsia="zh-CN"/>
        </w:rPr>
        <w:t>，</w:t>
      </w:r>
      <w:r>
        <w:rPr>
          <w:rFonts w:hint="eastAsia" w:ascii="仿宋" w:hAnsi="仿宋" w:eastAsia="仿宋"/>
          <w:color w:val="000000" w:themeColor="text1"/>
          <w:sz w:val="32"/>
          <w:szCs w:val="32"/>
          <w14:textFill>
            <w14:solidFill>
              <w14:schemeClr w14:val="tx1"/>
            </w14:solidFill>
          </w14:textFill>
        </w:rPr>
        <w:t>为构建以国内大循环为主体、国内国际双循环相互促进的新发展格局提供有力支撑。</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为便于各地商务</w:t>
      </w:r>
      <w:r>
        <w:rPr>
          <w:rFonts w:hint="eastAsia" w:ascii="仿宋" w:hAnsi="仿宋" w:eastAsia="仿宋"/>
          <w:sz w:val="32"/>
          <w:szCs w:val="32"/>
          <w:lang w:eastAsia="zh-CN"/>
        </w:rPr>
        <w:t>主管部门、市场监管</w:t>
      </w:r>
      <w:r>
        <w:rPr>
          <w:rFonts w:hint="eastAsia" w:ascii="仿宋" w:hAnsi="仿宋" w:eastAsia="仿宋"/>
          <w:sz w:val="32"/>
          <w:szCs w:val="32"/>
        </w:rPr>
        <w:t>部门、试点单位组织和开展试点工作，特制定《国家级服务业标准化试点（商贸流通专项）</w:t>
      </w:r>
      <w:r>
        <w:rPr>
          <w:rFonts w:hint="eastAsia" w:ascii="仿宋" w:hAnsi="仿宋" w:eastAsia="仿宋"/>
          <w:sz w:val="32"/>
          <w:szCs w:val="32"/>
          <w:lang w:eastAsia="zh-CN"/>
        </w:rPr>
        <w:t>工作指南</w:t>
      </w:r>
      <w:r>
        <w:rPr>
          <w:rFonts w:hint="eastAsia" w:ascii="仿宋" w:hAnsi="仿宋" w:eastAsia="仿宋"/>
          <w:sz w:val="32"/>
          <w:szCs w:val="32"/>
        </w:rPr>
        <w:t>》，供</w:t>
      </w:r>
      <w:r>
        <w:rPr>
          <w:rFonts w:hint="eastAsia" w:ascii="仿宋" w:hAnsi="仿宋" w:eastAsia="仿宋"/>
          <w:sz w:val="32"/>
          <w:szCs w:val="32"/>
          <w:lang w:eastAsia="zh-CN"/>
        </w:rPr>
        <w:t>在试点工作中</w:t>
      </w:r>
      <w:r>
        <w:rPr>
          <w:rFonts w:hint="eastAsia" w:ascii="仿宋" w:hAnsi="仿宋" w:eastAsia="仿宋"/>
          <w:sz w:val="32"/>
          <w:szCs w:val="32"/>
        </w:rPr>
        <w:t xml:space="preserve">参考使用。 </w:t>
      </w:r>
    </w:p>
    <w:p>
      <w:pPr>
        <w:pStyle w:val="2"/>
        <w:spacing w:before="0" w:after="0" w:line="594" w:lineRule="exact"/>
        <w:jc w:val="center"/>
        <w:rPr>
          <w:rFonts w:hint="eastAsia" w:ascii="方正小标宋简体" w:hAnsi="黑体" w:eastAsia="方正小标宋简体"/>
          <w:b w:val="0"/>
          <w:bCs w:val="0"/>
          <w:lang w:eastAsia="zh-CN"/>
        </w:rPr>
      </w:pPr>
      <w:bookmarkStart w:id="2" w:name="_Toc2041095418"/>
      <w:r>
        <w:rPr>
          <w:rFonts w:hint="eastAsia" w:ascii="方正小标宋简体" w:hAnsi="黑体" w:eastAsia="方正小标宋简体"/>
          <w:b w:val="0"/>
          <w:bCs w:val="0"/>
          <w:lang w:eastAsia="zh-CN"/>
        </w:rPr>
        <w:t>试点实施细则</w:t>
      </w:r>
      <w:bookmarkEnd w:id="2"/>
    </w:p>
    <w:p>
      <w:pPr>
        <w:pStyle w:val="2"/>
        <w:jc w:val="center"/>
        <w:rPr>
          <w:rFonts w:ascii="黑体" w:hAnsi="黑体" w:eastAsia="黑体"/>
          <w:b w:val="0"/>
          <w:bCs w:val="0"/>
          <w:sz w:val="32"/>
          <w:szCs w:val="32"/>
        </w:rPr>
      </w:pPr>
      <w:bookmarkStart w:id="3" w:name="_Toc87536596"/>
      <w:bookmarkStart w:id="4" w:name="_Toc1827805764"/>
      <w:r>
        <w:rPr>
          <w:rFonts w:hint="eastAsia" w:ascii="黑体" w:hAnsi="黑体" w:eastAsia="黑体"/>
          <w:b w:val="0"/>
          <w:bCs w:val="0"/>
          <w:sz w:val="32"/>
          <w:szCs w:val="32"/>
        </w:rPr>
        <w:t>第一章　总　则</w:t>
      </w:r>
      <w:bookmarkEnd w:id="3"/>
      <w:bookmarkEnd w:id="4"/>
    </w:p>
    <w:p>
      <w:pPr>
        <w:spacing w:line="594"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sz w:val="32"/>
          <w:szCs w:val="32"/>
        </w:rPr>
        <w:t>第一条</w:t>
      </w:r>
      <w:r>
        <w:rPr>
          <w:rFonts w:hint="eastAsia" w:ascii="方正仿宋简体" w:eastAsia="方正仿宋简体"/>
          <w:color w:val="000000" w:themeColor="text1"/>
          <w:sz w:val="32"/>
          <w:szCs w:val="32"/>
          <w14:textFill>
            <w14:solidFill>
              <w14:schemeClr w14:val="tx1"/>
            </w14:solidFill>
          </w14:textFill>
        </w:rPr>
        <w:t xml:space="preserve"> </w:t>
      </w:r>
      <w:r>
        <w:rPr>
          <w:rFonts w:hint="eastAsia" w:ascii="仿宋" w:hAnsi="仿宋" w:eastAsia="仿宋"/>
          <w:sz w:val="32"/>
          <w:szCs w:val="32"/>
        </w:rPr>
        <w:t>国家级服务业标准化试点（商贸流通专项）</w:t>
      </w:r>
      <w:r>
        <w:rPr>
          <w:rFonts w:hint="eastAsia" w:ascii="仿宋" w:hAnsi="仿宋" w:eastAsia="仿宋"/>
          <w:color w:val="000000" w:themeColor="text1"/>
          <w:sz w:val="32"/>
          <w:szCs w:val="32"/>
          <w14:textFill>
            <w14:solidFill>
              <w14:schemeClr w14:val="tx1"/>
            </w14:solidFill>
          </w14:textFill>
        </w:rPr>
        <w:t>由商务部、市场监管总局牵头并会同地方商务、市场监管部门共同组织开展。</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商务部、市场监管总局负责制定试点工作相关政策、组织相关工作的协调。</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省级商务、市场监管部门负责试点申请的受理和推荐，</w:t>
      </w:r>
      <w:r>
        <w:rPr>
          <w:rFonts w:hint="eastAsia" w:ascii="仿宋" w:hAnsi="仿宋" w:eastAsia="仿宋"/>
          <w:sz w:val="32"/>
          <w:szCs w:val="32"/>
          <w:lang w:eastAsia="zh-CN"/>
        </w:rPr>
        <w:t>组织试点实施，</w:t>
      </w:r>
      <w:r>
        <w:rPr>
          <w:rFonts w:hint="eastAsia" w:ascii="仿宋" w:hAnsi="仿宋" w:eastAsia="仿宋"/>
          <w:sz w:val="32"/>
          <w:szCs w:val="32"/>
        </w:rPr>
        <w:t>对试点工作进行评估</w:t>
      </w:r>
      <w:r>
        <w:rPr>
          <w:rFonts w:hint="eastAsia" w:ascii="仿宋" w:hAnsi="仿宋" w:eastAsia="仿宋"/>
          <w:sz w:val="32"/>
          <w:szCs w:val="32"/>
          <w:lang w:eastAsia="zh-CN"/>
        </w:rPr>
        <w:t>验收和监督管理</w:t>
      </w:r>
      <w:r>
        <w:rPr>
          <w:rFonts w:hint="eastAsia" w:ascii="仿宋" w:hAnsi="仿宋" w:eastAsia="仿宋"/>
          <w:sz w:val="32"/>
          <w:szCs w:val="32"/>
        </w:rPr>
        <w:t>。</w:t>
      </w:r>
    </w:p>
    <w:p>
      <w:pPr>
        <w:spacing w:line="594" w:lineRule="exact"/>
        <w:ind w:firstLine="640" w:firstLineChars="200"/>
        <w:rPr>
          <w:rFonts w:ascii="仿宋" w:hAnsi="仿宋" w:eastAsia="仿宋"/>
          <w:sz w:val="32"/>
          <w:szCs w:val="32"/>
        </w:rPr>
      </w:pPr>
      <w:bookmarkStart w:id="5" w:name="_Toc83815787"/>
      <w:bookmarkStart w:id="6" w:name="_Toc87536346"/>
      <w:bookmarkStart w:id="7" w:name="_Toc87536597"/>
      <w:r>
        <w:rPr>
          <w:rStyle w:val="38"/>
          <w:rFonts w:hint="eastAsia" w:ascii="楷体" w:hAnsi="楷体" w:eastAsia="楷体"/>
          <w:b w:val="0"/>
          <w:bCs w:val="0"/>
        </w:rPr>
        <w:t>第二条</w:t>
      </w:r>
      <w:bookmarkEnd w:id="5"/>
      <w:bookmarkEnd w:id="6"/>
      <w:bookmarkEnd w:id="7"/>
      <w:r>
        <w:rPr>
          <w:rStyle w:val="38"/>
          <w:rFonts w:hint="eastAsia" w:ascii="楷体" w:hAnsi="楷体" w:eastAsia="楷体"/>
        </w:rPr>
        <w:t xml:space="preserve"> </w:t>
      </w:r>
      <w:r>
        <w:rPr>
          <w:rFonts w:hint="eastAsia" w:ascii="仿宋" w:hAnsi="仿宋" w:eastAsia="仿宋"/>
          <w:sz w:val="32"/>
          <w:szCs w:val="32"/>
        </w:rPr>
        <w:t>各级商务、市场监管部门应当积极争取所在地政府对试点工作的支持，并会同有关部门共同推动试点建设。</w:t>
      </w:r>
    </w:p>
    <w:p>
      <w:pPr>
        <w:pStyle w:val="2"/>
        <w:jc w:val="center"/>
        <w:rPr>
          <w:rFonts w:ascii="黑体" w:hAnsi="黑体" w:eastAsia="黑体"/>
          <w:b w:val="0"/>
          <w:bCs w:val="0"/>
          <w:sz w:val="32"/>
          <w:szCs w:val="32"/>
        </w:rPr>
      </w:pPr>
      <w:bookmarkStart w:id="8" w:name="_Toc330264425"/>
      <w:bookmarkStart w:id="9" w:name="_Toc87536598"/>
      <w:r>
        <w:rPr>
          <w:rFonts w:hint="eastAsia" w:ascii="黑体" w:hAnsi="黑体" w:eastAsia="黑体"/>
          <w:b w:val="0"/>
          <w:bCs w:val="0"/>
          <w:sz w:val="32"/>
          <w:szCs w:val="32"/>
        </w:rPr>
        <w:t>第二章　基本原则</w:t>
      </w:r>
      <w:bookmarkEnd w:id="8"/>
      <w:bookmarkEnd w:id="9"/>
    </w:p>
    <w:p>
      <w:pPr>
        <w:spacing w:line="594" w:lineRule="exact"/>
        <w:ind w:firstLine="640" w:firstLineChars="200"/>
        <w:rPr>
          <w:rFonts w:ascii="仿宋" w:hAnsi="仿宋" w:eastAsia="仿宋"/>
          <w:sz w:val="32"/>
          <w:szCs w:val="32"/>
        </w:rPr>
      </w:pPr>
      <w:bookmarkStart w:id="10" w:name="_Toc87536599"/>
      <w:bookmarkStart w:id="11" w:name="_Toc87536348"/>
      <w:bookmarkStart w:id="12" w:name="_Toc83815789"/>
      <w:r>
        <w:rPr>
          <w:rStyle w:val="38"/>
          <w:rFonts w:hint="eastAsia" w:ascii="楷体" w:hAnsi="楷体" w:eastAsia="楷体"/>
          <w:b w:val="0"/>
          <w:bCs w:val="0"/>
        </w:rPr>
        <w:t>第三条</w:t>
      </w:r>
      <w:bookmarkEnd w:id="10"/>
      <w:bookmarkEnd w:id="11"/>
      <w:bookmarkEnd w:id="12"/>
      <w:r>
        <w:rPr>
          <w:rStyle w:val="38"/>
          <w:rFonts w:hint="eastAsia" w:ascii="楷体" w:hAnsi="楷体" w:eastAsia="楷体"/>
          <w:b w:val="0"/>
          <w:bCs w:val="0"/>
        </w:rPr>
        <w:t>　</w:t>
      </w:r>
      <w:r>
        <w:rPr>
          <w:rFonts w:hint="eastAsia" w:ascii="仿宋" w:hAnsi="仿宋" w:eastAsia="仿宋"/>
          <w:sz w:val="32"/>
          <w:szCs w:val="32"/>
        </w:rPr>
        <w:t>推进试点工作应遵循以下原则:</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（一）标准的制定与商贸流通发展要求相结合。标准的制定过程和实际内容要体现内外贸一体化、商贸流通提质增效特点，满足行业发展需求。</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（二）标准的实施</w:t>
      </w:r>
      <w:r>
        <w:rPr>
          <w:rFonts w:hint="eastAsia" w:ascii="仿宋" w:hAnsi="仿宋" w:eastAsia="仿宋"/>
          <w:sz w:val="32"/>
          <w:szCs w:val="32"/>
          <w:lang w:eastAsia="zh-CN"/>
        </w:rPr>
        <w:t>应用</w:t>
      </w:r>
      <w:r>
        <w:rPr>
          <w:rFonts w:hint="eastAsia" w:ascii="仿宋" w:hAnsi="仿宋" w:eastAsia="仿宋"/>
          <w:sz w:val="32"/>
          <w:szCs w:val="32"/>
        </w:rPr>
        <w:t>与</w:t>
      </w:r>
      <w:r>
        <w:rPr>
          <w:rFonts w:hint="eastAsia" w:ascii="仿宋" w:hAnsi="仿宋" w:eastAsia="仿宋"/>
          <w:sz w:val="32"/>
          <w:szCs w:val="32"/>
          <w:lang w:eastAsia="zh-CN"/>
        </w:rPr>
        <w:t>促进</w:t>
      </w:r>
      <w:r>
        <w:rPr>
          <w:rFonts w:hint="eastAsia" w:ascii="仿宋" w:hAnsi="仿宋" w:eastAsia="仿宋"/>
          <w:sz w:val="32"/>
          <w:szCs w:val="32"/>
        </w:rPr>
        <w:t>商贸流通</w:t>
      </w:r>
      <w:r>
        <w:rPr>
          <w:rFonts w:hint="eastAsia" w:ascii="仿宋" w:hAnsi="仿宋" w:eastAsia="仿宋"/>
          <w:sz w:val="32"/>
          <w:szCs w:val="32"/>
          <w:lang w:eastAsia="zh-CN"/>
        </w:rPr>
        <w:t>提质增效</w:t>
      </w:r>
      <w:r>
        <w:rPr>
          <w:rFonts w:hint="eastAsia" w:ascii="仿宋" w:hAnsi="仿宋" w:eastAsia="仿宋"/>
          <w:sz w:val="32"/>
          <w:szCs w:val="32"/>
        </w:rPr>
        <w:t>相结合。标准的实施过程要立足于国内外标准互联互通、流通设施改造升级、流通服务规范</w:t>
      </w:r>
      <w:r>
        <w:rPr>
          <w:rFonts w:hint="eastAsia" w:ascii="仿宋" w:hAnsi="仿宋" w:eastAsia="仿宋"/>
          <w:sz w:val="32"/>
          <w:szCs w:val="32"/>
          <w:lang w:eastAsia="zh-CN"/>
        </w:rPr>
        <w:t>、</w:t>
      </w:r>
      <w:r>
        <w:rPr>
          <w:rFonts w:hint="eastAsia" w:ascii="仿宋" w:hAnsi="仿宋" w:eastAsia="仿宋"/>
          <w:sz w:val="32"/>
          <w:szCs w:val="32"/>
        </w:rPr>
        <w:t>流通方式创新</w:t>
      </w:r>
      <w:r>
        <w:rPr>
          <w:rFonts w:hint="eastAsia" w:ascii="仿宋" w:hAnsi="仿宋" w:eastAsia="仿宋"/>
          <w:sz w:val="32"/>
          <w:szCs w:val="32"/>
          <w:lang w:eastAsia="zh-CN"/>
        </w:rPr>
        <w:t>，</w:t>
      </w:r>
      <w:r>
        <w:rPr>
          <w:rFonts w:hint="eastAsia" w:ascii="仿宋" w:hAnsi="仿宋" w:eastAsia="仿宋"/>
          <w:sz w:val="32"/>
          <w:szCs w:val="32"/>
        </w:rPr>
        <w:t>以标准化提</w:t>
      </w:r>
      <w:r>
        <w:rPr>
          <w:rFonts w:hint="eastAsia" w:ascii="仿宋" w:hAnsi="仿宋" w:eastAsia="仿宋"/>
          <w:sz w:val="32"/>
          <w:szCs w:val="32"/>
          <w:lang w:eastAsia="zh-CN"/>
        </w:rPr>
        <w:t>升</w:t>
      </w:r>
      <w:r>
        <w:rPr>
          <w:rFonts w:hint="eastAsia" w:ascii="仿宋" w:hAnsi="仿宋" w:eastAsia="仿宋"/>
          <w:sz w:val="32"/>
          <w:szCs w:val="32"/>
        </w:rPr>
        <w:t>商贸流通业管理水平和市场竞争力。</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（三）标准的实施</w:t>
      </w:r>
      <w:r>
        <w:rPr>
          <w:rFonts w:hint="eastAsia" w:ascii="仿宋" w:hAnsi="仿宋" w:eastAsia="仿宋"/>
          <w:sz w:val="32"/>
          <w:szCs w:val="32"/>
          <w:lang w:eastAsia="zh-CN"/>
        </w:rPr>
        <w:t>应用</w:t>
      </w:r>
      <w:r>
        <w:rPr>
          <w:rFonts w:hint="eastAsia" w:ascii="仿宋" w:hAnsi="仿宋" w:eastAsia="仿宋"/>
          <w:sz w:val="32"/>
          <w:szCs w:val="32"/>
        </w:rPr>
        <w:t>效果评价与持续改进相结合。推广实施商贸流通标准要创新方法、注重实效，要通过对实施</w:t>
      </w:r>
      <w:r>
        <w:rPr>
          <w:rFonts w:hint="eastAsia" w:ascii="仿宋" w:hAnsi="仿宋" w:eastAsia="仿宋"/>
          <w:sz w:val="32"/>
          <w:szCs w:val="32"/>
          <w:lang w:eastAsia="zh-CN"/>
        </w:rPr>
        <w:t>应用</w:t>
      </w:r>
      <w:r>
        <w:rPr>
          <w:rFonts w:hint="eastAsia" w:ascii="仿宋" w:hAnsi="仿宋" w:eastAsia="仿宋"/>
          <w:sz w:val="32"/>
          <w:szCs w:val="32"/>
        </w:rPr>
        <w:t>效果的评估，不断</w:t>
      </w:r>
      <w:r>
        <w:rPr>
          <w:rFonts w:hint="eastAsia" w:ascii="仿宋" w:hAnsi="仿宋" w:eastAsia="仿宋"/>
          <w:sz w:val="32"/>
          <w:szCs w:val="32"/>
          <w:lang w:eastAsia="zh-CN"/>
        </w:rPr>
        <w:t>探</w:t>
      </w:r>
      <w:r>
        <w:rPr>
          <w:rFonts w:hint="eastAsia" w:ascii="仿宋" w:hAnsi="仿宋" w:eastAsia="仿宋"/>
          <w:sz w:val="32"/>
          <w:szCs w:val="32"/>
        </w:rPr>
        <w:t>索和总结经验，完善标准、改进实施方法，提高标准化实施效果。</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（四）试点效果与经验推广相结合。将试点产生的经济效益、社会效益作为衡量实施效果的重要指标，切实总结试点工作经验，推</w:t>
      </w:r>
      <w:r>
        <w:rPr>
          <w:rFonts w:hint="eastAsia" w:ascii="仿宋" w:hAnsi="仿宋" w:eastAsia="仿宋"/>
          <w:sz w:val="32"/>
          <w:szCs w:val="32"/>
          <w:lang w:eastAsia="zh-CN"/>
        </w:rPr>
        <w:t>动</w:t>
      </w:r>
      <w:r>
        <w:rPr>
          <w:rFonts w:hint="eastAsia" w:ascii="仿宋" w:hAnsi="仿宋" w:eastAsia="仿宋"/>
          <w:sz w:val="32"/>
          <w:szCs w:val="32"/>
        </w:rPr>
        <w:t>形成可复制推广的标准化工作模式。</w:t>
      </w:r>
    </w:p>
    <w:p>
      <w:pPr>
        <w:pStyle w:val="2"/>
        <w:jc w:val="center"/>
        <w:rPr>
          <w:rFonts w:ascii="黑体" w:hAnsi="黑体" w:eastAsia="黑体"/>
          <w:b w:val="0"/>
          <w:bCs w:val="0"/>
          <w:sz w:val="32"/>
          <w:szCs w:val="32"/>
        </w:rPr>
      </w:pPr>
      <w:bookmarkStart w:id="13" w:name="_Toc87536600"/>
      <w:bookmarkStart w:id="14" w:name="_Toc1467905717"/>
      <w:r>
        <w:rPr>
          <w:rFonts w:hint="eastAsia" w:ascii="黑体" w:hAnsi="黑体" w:eastAsia="黑体"/>
          <w:b w:val="0"/>
          <w:bCs w:val="0"/>
          <w:sz w:val="32"/>
          <w:szCs w:val="32"/>
        </w:rPr>
        <w:t>第三章　试点的条件、申请与受理</w:t>
      </w:r>
      <w:bookmarkEnd w:id="13"/>
      <w:bookmarkEnd w:id="14"/>
    </w:p>
    <w:p>
      <w:pPr>
        <w:spacing w:line="594" w:lineRule="exact"/>
        <w:ind w:firstLine="640" w:firstLineChars="200"/>
        <w:rPr>
          <w:rFonts w:ascii="方正仿宋简体" w:eastAsia="方正仿宋简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第四条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试点分为城市试点和企业试点。城市试点主体为设区的市人民政府，企业试点主体为参与内外贸一体化或商贸流通提质增效的相关企业。</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第五条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城市试点</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（一）所在城市人民政府重视商贸流通标准化工作，具备一定工作基础。</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（二）能够为试点提供政策、资金及其他支持。</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（三）具有较强的商贸流通产业基础。</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第六条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企业试点</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（一）具有较强的标准化意识，具备一定工作基础，设立标准化工作机制</w:t>
      </w:r>
      <w:r>
        <w:rPr>
          <w:rFonts w:hint="eastAsia" w:ascii="仿宋" w:hAnsi="仿宋" w:eastAsia="仿宋"/>
          <w:sz w:val="32"/>
          <w:szCs w:val="32"/>
          <w:lang w:eastAsia="zh-CN"/>
        </w:rPr>
        <w:t>，</w:t>
      </w:r>
      <w:r>
        <w:rPr>
          <w:rFonts w:hint="eastAsia" w:ascii="仿宋" w:hAnsi="仿宋" w:eastAsia="仿宋"/>
          <w:sz w:val="32"/>
          <w:szCs w:val="32"/>
        </w:rPr>
        <w:t>配备专人负责标准化工作。具备独立法人资格,能够独立承担民事责任。</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（二）发展规模和效益位于本地区同行业前列，具有良好的发展潜力，对其他企业具有明显的示范带动作用。</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（三）诚信守法,三年内未发生重大产品和服务质量、安全</w:t>
      </w:r>
      <w:r>
        <w:rPr>
          <w:rFonts w:hint="eastAsia" w:ascii="仿宋" w:hAnsi="仿宋" w:eastAsia="仿宋"/>
          <w:sz w:val="32"/>
          <w:szCs w:val="32"/>
          <w:lang w:eastAsia="zh-CN"/>
        </w:rPr>
        <w:t>生产</w:t>
      </w:r>
      <w:r>
        <w:rPr>
          <w:rFonts w:hint="eastAsia" w:ascii="仿宋" w:hAnsi="仿宋" w:eastAsia="仿宋"/>
          <w:sz w:val="32"/>
          <w:szCs w:val="32"/>
        </w:rPr>
        <w:t>、环境保护等事故,未受到市级以上(含市级)相关部门的通报、处分和媒体曝光。</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第七条</w:t>
      </w:r>
      <w:r>
        <w:rPr>
          <w:rFonts w:hint="eastAsia" w:ascii="方正楷体简体" w:eastAsia="方正楷体简体"/>
          <w:color w:val="000000" w:themeColor="text1"/>
          <w:sz w:val="32"/>
          <w:szCs w:val="32"/>
          <w14:textFill>
            <w14:solidFill>
              <w14:schemeClr w14:val="tx1"/>
            </w14:solidFill>
          </w14:textFill>
        </w:rPr>
        <w:t>　</w:t>
      </w:r>
      <w:r>
        <w:rPr>
          <w:rFonts w:hint="eastAsia" w:ascii="仿宋" w:hAnsi="仿宋" w:eastAsia="仿宋"/>
          <w:sz w:val="32"/>
          <w:szCs w:val="32"/>
        </w:rPr>
        <w:t>试点城市或企业自愿提出试点申请，填写《国家级服务业标准化试点（商贸流通专项）申报书》(见附件1)盖章后上报。</w:t>
      </w:r>
    </w:p>
    <w:p>
      <w:pPr>
        <w:spacing w:line="594" w:lineRule="exact"/>
        <w:ind w:firstLine="640" w:firstLineChars="200"/>
        <w:rPr>
          <w:rFonts w:ascii="仿宋" w:hAnsi="仿宋" w:eastAsia="仿宋"/>
          <w:color w:val="auto"/>
          <w:sz w:val="32"/>
          <w:szCs w:val="32"/>
        </w:rPr>
      </w:pPr>
      <w:r>
        <w:rPr>
          <w:rFonts w:hint="eastAsia" w:ascii="楷体" w:hAnsi="楷体" w:eastAsia="楷体"/>
          <w:color w:val="auto"/>
          <w:sz w:val="32"/>
          <w:szCs w:val="32"/>
        </w:rPr>
        <w:t>第八条　</w:t>
      </w:r>
      <w:r>
        <w:rPr>
          <w:rFonts w:hint="eastAsia" w:ascii="仿宋" w:hAnsi="仿宋" w:eastAsia="仿宋"/>
          <w:color w:val="auto"/>
          <w:sz w:val="32"/>
          <w:szCs w:val="32"/>
        </w:rPr>
        <w:t>省级商务、市场监管部门接到申请后应在规定时间内</w:t>
      </w:r>
      <w:r>
        <w:rPr>
          <w:rFonts w:hint="eastAsia" w:ascii="仿宋" w:hAnsi="仿宋" w:eastAsia="仿宋"/>
          <w:color w:val="auto"/>
          <w:sz w:val="32"/>
          <w:szCs w:val="32"/>
          <w:lang w:eastAsia="zh-CN"/>
        </w:rPr>
        <w:t>按照</w:t>
      </w:r>
      <w:r>
        <w:rPr>
          <w:rFonts w:hint="eastAsia" w:ascii="仿宋" w:hAnsi="仿宋" w:eastAsia="仿宋"/>
          <w:color w:val="auto"/>
          <w:sz w:val="32"/>
          <w:szCs w:val="32"/>
        </w:rPr>
        <w:t>第五条</w:t>
      </w:r>
      <w:r>
        <w:rPr>
          <w:rFonts w:hint="eastAsia" w:ascii="仿宋" w:hAnsi="仿宋" w:eastAsia="仿宋"/>
          <w:color w:val="auto"/>
          <w:sz w:val="32"/>
          <w:szCs w:val="32"/>
          <w:lang w:eastAsia="zh-CN"/>
        </w:rPr>
        <w:t>、</w:t>
      </w:r>
      <w:r>
        <w:rPr>
          <w:rFonts w:hint="eastAsia" w:ascii="仿宋" w:hAnsi="仿宋" w:eastAsia="仿宋"/>
          <w:color w:val="auto"/>
          <w:sz w:val="32"/>
          <w:szCs w:val="32"/>
        </w:rPr>
        <w:t>第六条要求</w:t>
      </w:r>
      <w:r>
        <w:rPr>
          <w:rFonts w:hint="eastAsia" w:ascii="仿宋" w:hAnsi="仿宋" w:eastAsia="仿宋"/>
          <w:color w:val="auto"/>
          <w:sz w:val="32"/>
          <w:szCs w:val="32"/>
          <w:lang w:eastAsia="zh-CN"/>
        </w:rPr>
        <w:t>，</w:t>
      </w:r>
      <w:r>
        <w:rPr>
          <w:rFonts w:hint="eastAsia" w:ascii="仿宋" w:hAnsi="仿宋" w:eastAsia="仿宋"/>
          <w:color w:val="auto"/>
          <w:sz w:val="32"/>
          <w:szCs w:val="32"/>
        </w:rPr>
        <w:t>对申请材料的符合性进行审核。</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第九条</w:t>
      </w:r>
      <w:r>
        <w:rPr>
          <w:rFonts w:hint="eastAsia" w:ascii="仿宋" w:hAnsi="仿宋" w:eastAsia="仿宋"/>
          <w:sz w:val="32"/>
          <w:szCs w:val="32"/>
        </w:rPr>
        <w:t>　对于符合条件的申请单位,由省级商务、市场监管部门汇总报商务部，由商务部</w:t>
      </w:r>
      <w:r>
        <w:rPr>
          <w:rFonts w:hint="eastAsia" w:ascii="仿宋" w:hAnsi="仿宋" w:eastAsia="仿宋"/>
          <w:sz w:val="32"/>
          <w:szCs w:val="32"/>
          <w:lang w:eastAsia="zh-CN"/>
        </w:rPr>
        <w:t>会同</w:t>
      </w:r>
      <w:r>
        <w:rPr>
          <w:rFonts w:hint="eastAsia" w:ascii="仿宋" w:hAnsi="仿宋" w:eastAsia="仿宋"/>
          <w:sz w:val="32"/>
          <w:szCs w:val="32"/>
        </w:rPr>
        <w:t>市场监管总局</w:t>
      </w:r>
      <w:r>
        <w:rPr>
          <w:rFonts w:hint="eastAsia" w:ascii="仿宋" w:hAnsi="仿宋" w:eastAsia="仿宋"/>
          <w:sz w:val="32"/>
          <w:szCs w:val="32"/>
          <w:lang w:eastAsia="zh-CN"/>
        </w:rPr>
        <w:t>评审确认</w:t>
      </w:r>
      <w:r>
        <w:rPr>
          <w:rFonts w:hint="eastAsia" w:ascii="仿宋" w:hAnsi="仿宋" w:eastAsia="仿宋"/>
          <w:sz w:val="32"/>
          <w:szCs w:val="32"/>
        </w:rPr>
        <w:t>后下达。</w:t>
      </w:r>
    </w:p>
    <w:p>
      <w:pPr>
        <w:pStyle w:val="2"/>
        <w:jc w:val="center"/>
        <w:rPr>
          <w:rFonts w:ascii="黑体" w:hAnsi="黑体" w:eastAsia="黑体"/>
          <w:b w:val="0"/>
          <w:bCs w:val="0"/>
          <w:sz w:val="32"/>
          <w:szCs w:val="32"/>
        </w:rPr>
      </w:pPr>
      <w:bookmarkStart w:id="15" w:name="_Toc1709346033"/>
      <w:bookmarkStart w:id="16" w:name="_Toc87536601"/>
      <w:r>
        <w:rPr>
          <w:rFonts w:hint="eastAsia" w:ascii="黑体" w:hAnsi="黑体" w:eastAsia="黑体"/>
          <w:b w:val="0"/>
          <w:bCs w:val="0"/>
          <w:sz w:val="32"/>
          <w:szCs w:val="32"/>
        </w:rPr>
        <w:t>第四章　试点的实施</w:t>
      </w:r>
      <w:bookmarkEnd w:id="15"/>
      <w:bookmarkEnd w:id="16"/>
    </w:p>
    <w:p>
      <w:pPr>
        <w:spacing w:line="594"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第十条　</w:t>
      </w:r>
      <w:r>
        <w:rPr>
          <w:rFonts w:hint="eastAsia" w:ascii="仿宋" w:hAnsi="仿宋" w:eastAsia="仿宋"/>
          <w:sz w:val="32"/>
          <w:szCs w:val="32"/>
        </w:rPr>
        <w:t>试点主要方向:</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（一）试点主要围绕内外贸一体化、商贸流通提质增效两个方向开展。</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（二）内外贸一体化方向重点围绕农产品流通、消费品流通、跨境电商、服务贸易等领域，推动国内外标准互联互通，以标准化建设带动内外贸领域认证、检验检疫等衔接。</w:t>
      </w:r>
    </w:p>
    <w:p>
      <w:pPr>
        <w:spacing w:line="594" w:lineRule="exact"/>
        <w:ind w:firstLine="640" w:firstLineChars="200"/>
        <w:rPr>
          <w:rFonts w:ascii="仿宋" w:hAnsi="仿宋" w:eastAsia="仿宋"/>
          <w:sz w:val="32"/>
          <w:szCs w:val="32"/>
          <w:highlight w:val="none"/>
        </w:rPr>
      </w:pPr>
      <w:r>
        <w:rPr>
          <w:rFonts w:hint="eastAsia" w:ascii="仿宋" w:hAnsi="仿宋" w:eastAsia="仿宋"/>
          <w:sz w:val="32"/>
          <w:szCs w:val="32"/>
        </w:rPr>
        <w:t>（三）商贸流通提质增效方向重点围绕流通设施改造升级、流通方式创新、流通主体培育等方面，以标准化推动流通新技术、新业态、新模式发展，推动绿色化、数字化、智能化改造和跨界融合</w:t>
      </w:r>
      <w:r>
        <w:rPr>
          <w:rFonts w:hint="eastAsia" w:ascii="仿宋" w:hAnsi="仿宋" w:eastAsia="仿宋"/>
          <w:sz w:val="32"/>
          <w:szCs w:val="32"/>
          <w:highlight w:val="none"/>
        </w:rPr>
        <w:t>。</w:t>
      </w:r>
    </w:p>
    <w:p>
      <w:pPr>
        <w:spacing w:line="594" w:lineRule="exact"/>
        <w:ind w:firstLine="640" w:firstLineChars="200"/>
        <w:rPr>
          <w:rFonts w:ascii="仿宋" w:hAnsi="仿宋" w:eastAsia="仿宋"/>
          <w:sz w:val="32"/>
          <w:szCs w:val="32"/>
          <w:highlight w:val="none"/>
        </w:rPr>
      </w:pPr>
      <w:r>
        <w:rPr>
          <w:rFonts w:hint="eastAsia" w:ascii="楷体" w:hAnsi="楷体" w:eastAsia="楷体"/>
          <w:color w:val="000000" w:themeColor="text1"/>
          <w:sz w:val="32"/>
          <w:szCs w:val="32"/>
          <w:highlight w:val="none"/>
          <w14:textFill>
            <w14:solidFill>
              <w14:schemeClr w14:val="tx1"/>
            </w14:solidFill>
          </w14:textFill>
        </w:rPr>
        <w:t>第十一条</w:t>
      </w:r>
      <w:r>
        <w:rPr>
          <w:rFonts w:hint="eastAsia" w:ascii="方正仿宋简体" w:eastAsia="方正仿宋简体"/>
          <w:color w:val="000000" w:themeColor="text1"/>
          <w:sz w:val="32"/>
          <w:szCs w:val="32"/>
          <w:highlight w:val="none"/>
          <w14:textFill>
            <w14:solidFill>
              <w14:schemeClr w14:val="tx1"/>
            </w14:solidFill>
          </w14:textFill>
        </w:rPr>
        <w:t>　</w:t>
      </w:r>
      <w:r>
        <w:rPr>
          <w:rFonts w:hint="eastAsia" w:ascii="仿宋" w:hAnsi="仿宋" w:eastAsia="仿宋"/>
          <w:sz w:val="32"/>
          <w:szCs w:val="32"/>
          <w:highlight w:val="none"/>
        </w:rPr>
        <w:t>省级商务、市场监管部门</w:t>
      </w:r>
      <w:r>
        <w:rPr>
          <w:rFonts w:hint="eastAsia" w:ascii="仿宋" w:hAnsi="仿宋" w:eastAsia="仿宋"/>
          <w:sz w:val="32"/>
          <w:szCs w:val="32"/>
          <w:highlight w:val="none"/>
          <w:lang w:eastAsia="zh-CN"/>
        </w:rPr>
        <w:t>在试点实施中的具体</w:t>
      </w:r>
      <w:r>
        <w:rPr>
          <w:rFonts w:hint="eastAsia" w:ascii="仿宋" w:hAnsi="仿宋" w:eastAsia="仿宋"/>
          <w:sz w:val="32"/>
          <w:szCs w:val="32"/>
          <w:highlight w:val="none"/>
        </w:rPr>
        <w:t>职责</w:t>
      </w:r>
    </w:p>
    <w:p>
      <w:pPr>
        <w:spacing w:line="594"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w:t>
      </w:r>
      <w:r>
        <w:rPr>
          <w:rFonts w:hint="eastAsia" w:ascii="仿宋" w:hAnsi="仿宋" w:eastAsia="仿宋"/>
          <w:sz w:val="32"/>
          <w:szCs w:val="32"/>
          <w:highlight w:val="none"/>
          <w:lang w:eastAsia="zh-CN"/>
        </w:rPr>
        <w:t>建立试点</w:t>
      </w:r>
      <w:r>
        <w:rPr>
          <w:rFonts w:hint="eastAsia" w:ascii="仿宋" w:hAnsi="仿宋" w:eastAsia="仿宋"/>
          <w:sz w:val="32"/>
          <w:szCs w:val="32"/>
          <w:highlight w:val="none"/>
        </w:rPr>
        <w:t>管理体系。省级商务、市场监管部门要形成统一管理、分工负责、高效运行、协同推进的标准化试点管理体系。制定试点管理和实施方案，统一管理试点工作，指导各试点单位开展标准化</w:t>
      </w:r>
      <w:r>
        <w:rPr>
          <w:rFonts w:hint="eastAsia" w:ascii="仿宋" w:hAnsi="仿宋" w:eastAsia="仿宋"/>
          <w:sz w:val="32"/>
          <w:szCs w:val="32"/>
          <w:highlight w:val="none"/>
          <w:lang w:eastAsia="zh-CN"/>
        </w:rPr>
        <w:t>建设</w:t>
      </w:r>
      <w:r>
        <w:rPr>
          <w:rFonts w:hint="eastAsia" w:ascii="仿宋" w:hAnsi="仿宋" w:eastAsia="仿宋"/>
          <w:sz w:val="32"/>
          <w:szCs w:val="32"/>
          <w:highlight w:val="none"/>
        </w:rPr>
        <w:t>，对标准化试点实施情况进行监督检查。</w:t>
      </w:r>
    </w:p>
    <w:p>
      <w:pPr>
        <w:spacing w:line="594"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（二）创新</w:t>
      </w:r>
      <w:r>
        <w:rPr>
          <w:rFonts w:hint="eastAsia" w:ascii="仿宋" w:hAnsi="仿宋" w:eastAsia="仿宋"/>
          <w:sz w:val="32"/>
          <w:szCs w:val="32"/>
          <w:highlight w:val="none"/>
          <w:lang w:eastAsia="zh-CN"/>
        </w:rPr>
        <w:t>试点</w:t>
      </w:r>
      <w:r>
        <w:rPr>
          <w:rFonts w:hint="eastAsia" w:ascii="仿宋" w:hAnsi="仿宋" w:eastAsia="仿宋"/>
          <w:sz w:val="32"/>
          <w:szCs w:val="32"/>
          <w:highlight w:val="none"/>
        </w:rPr>
        <w:t>工作</w:t>
      </w:r>
      <w:r>
        <w:rPr>
          <w:rFonts w:hint="eastAsia" w:ascii="仿宋" w:hAnsi="仿宋" w:eastAsia="仿宋"/>
          <w:sz w:val="32"/>
          <w:szCs w:val="32"/>
          <w:highlight w:val="none"/>
          <w:lang w:eastAsia="zh-CN"/>
        </w:rPr>
        <w:t>方法</w:t>
      </w:r>
      <w:r>
        <w:rPr>
          <w:rFonts w:hint="eastAsia" w:ascii="仿宋" w:hAnsi="仿宋" w:eastAsia="仿宋"/>
          <w:sz w:val="32"/>
          <w:szCs w:val="32"/>
          <w:highlight w:val="none"/>
        </w:rPr>
        <w:t>。建立技术、专利、标准协同机制，支持试点单位在优势领域将技术创新成果转化为先进标准，促进商贸流通创新技术和先进经验转化应用。搭建</w:t>
      </w:r>
      <w:r>
        <w:rPr>
          <w:rFonts w:hint="eastAsia" w:ascii="仿宋" w:hAnsi="仿宋" w:eastAsia="仿宋"/>
          <w:sz w:val="32"/>
          <w:szCs w:val="32"/>
          <w:highlight w:val="none"/>
          <w:lang w:eastAsia="zh-CN"/>
        </w:rPr>
        <w:t>试点</w:t>
      </w:r>
      <w:r>
        <w:rPr>
          <w:rFonts w:hint="eastAsia" w:ascii="仿宋" w:hAnsi="仿宋" w:eastAsia="仿宋"/>
          <w:sz w:val="32"/>
          <w:szCs w:val="32"/>
          <w:highlight w:val="none"/>
        </w:rPr>
        <w:t>推进平台，引导学会、协会等社会组织协调相关市场主体共同参与标准化试点工作</w:t>
      </w:r>
      <w:r>
        <w:rPr>
          <w:rFonts w:hint="eastAsia" w:ascii="仿宋" w:hAnsi="仿宋" w:eastAsia="仿宋"/>
          <w:sz w:val="32"/>
          <w:szCs w:val="32"/>
          <w:highlight w:val="none"/>
          <w:lang w:eastAsia="zh-CN"/>
        </w:rPr>
        <w:t>。畅通标准制定渠道，</w:t>
      </w:r>
      <w:r>
        <w:rPr>
          <w:rFonts w:hint="eastAsia" w:ascii="仿宋" w:hAnsi="仿宋" w:eastAsia="仿宋"/>
          <w:sz w:val="32"/>
          <w:szCs w:val="32"/>
          <w:highlight w:val="none"/>
        </w:rPr>
        <w:t>对制定</w:t>
      </w:r>
      <w:r>
        <w:rPr>
          <w:rFonts w:hint="eastAsia" w:ascii="仿宋" w:hAnsi="仿宋" w:eastAsia="仿宋"/>
          <w:sz w:val="32"/>
          <w:szCs w:val="32"/>
          <w:highlight w:val="none"/>
          <w:lang w:eastAsia="zh-CN"/>
        </w:rPr>
        <w:t>国家标准、行业标准、地方</w:t>
      </w:r>
      <w:r>
        <w:rPr>
          <w:rFonts w:hint="eastAsia" w:ascii="仿宋" w:hAnsi="仿宋" w:eastAsia="仿宋"/>
          <w:sz w:val="32"/>
          <w:szCs w:val="32"/>
          <w:highlight w:val="none"/>
        </w:rPr>
        <w:t>标准的试点单位开辟绿色通道，给予重点支持</w:t>
      </w:r>
      <w:r>
        <w:rPr>
          <w:rFonts w:hint="eastAsia" w:ascii="仿宋" w:hAnsi="仿宋" w:eastAsia="仿宋"/>
          <w:sz w:val="32"/>
          <w:szCs w:val="32"/>
          <w:highlight w:val="none"/>
          <w:lang w:eastAsia="zh-CN"/>
        </w:rPr>
        <w:t>，培育制定</w:t>
      </w:r>
      <w:r>
        <w:rPr>
          <w:rFonts w:hint="eastAsia" w:ascii="仿宋" w:hAnsi="仿宋" w:eastAsia="仿宋"/>
          <w:sz w:val="32"/>
          <w:szCs w:val="32"/>
          <w:highlight w:val="none"/>
        </w:rPr>
        <w:t>一批</w:t>
      </w:r>
      <w:r>
        <w:rPr>
          <w:rFonts w:hint="eastAsia" w:ascii="仿宋" w:hAnsi="仿宋" w:eastAsia="仿宋"/>
          <w:sz w:val="32"/>
          <w:szCs w:val="32"/>
          <w:highlight w:val="none"/>
          <w:lang w:eastAsia="zh-CN"/>
        </w:rPr>
        <w:t>对标</w:t>
      </w:r>
      <w:r>
        <w:rPr>
          <w:rFonts w:hint="eastAsia" w:ascii="仿宋" w:hAnsi="仿宋" w:eastAsia="仿宋"/>
          <w:sz w:val="32"/>
          <w:szCs w:val="32"/>
          <w:highlight w:val="none"/>
        </w:rPr>
        <w:t>国际标准、体现商贸流通特色、代表先进水平的</w:t>
      </w:r>
      <w:r>
        <w:rPr>
          <w:rFonts w:hint="eastAsia" w:ascii="仿宋" w:hAnsi="仿宋" w:eastAsia="仿宋"/>
          <w:sz w:val="32"/>
          <w:szCs w:val="32"/>
          <w:highlight w:val="none"/>
          <w:lang w:eastAsia="zh-CN"/>
        </w:rPr>
        <w:t>团体标准、</w:t>
      </w:r>
      <w:r>
        <w:rPr>
          <w:rFonts w:hint="eastAsia" w:ascii="仿宋" w:hAnsi="仿宋" w:eastAsia="仿宋"/>
          <w:sz w:val="32"/>
          <w:szCs w:val="32"/>
          <w:highlight w:val="none"/>
        </w:rPr>
        <w:t>企业标准。</w:t>
      </w:r>
    </w:p>
    <w:p>
      <w:pPr>
        <w:spacing w:line="594"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）强化</w:t>
      </w:r>
      <w:r>
        <w:rPr>
          <w:rFonts w:hint="eastAsia" w:ascii="仿宋" w:hAnsi="仿宋" w:eastAsia="仿宋"/>
          <w:sz w:val="32"/>
          <w:szCs w:val="32"/>
          <w:highlight w:val="none"/>
          <w:lang w:eastAsia="zh-CN"/>
        </w:rPr>
        <w:t>试点</w:t>
      </w:r>
      <w:r>
        <w:rPr>
          <w:rFonts w:hint="eastAsia" w:ascii="仿宋" w:hAnsi="仿宋" w:eastAsia="仿宋"/>
          <w:sz w:val="32"/>
          <w:szCs w:val="32"/>
          <w:highlight w:val="none"/>
        </w:rPr>
        <w:t>工作</w:t>
      </w:r>
      <w:r>
        <w:rPr>
          <w:rFonts w:hint="eastAsia" w:ascii="仿宋" w:hAnsi="仿宋" w:eastAsia="仿宋"/>
          <w:sz w:val="32"/>
          <w:szCs w:val="32"/>
          <w:highlight w:val="none"/>
          <w:lang w:eastAsia="zh-CN"/>
        </w:rPr>
        <w:t>保障</w:t>
      </w:r>
      <w:r>
        <w:rPr>
          <w:rFonts w:hint="eastAsia" w:ascii="仿宋" w:hAnsi="仿宋" w:eastAsia="仿宋"/>
          <w:sz w:val="32"/>
          <w:szCs w:val="32"/>
          <w:highlight w:val="none"/>
        </w:rPr>
        <w:t>。积极推动试点单位加强对</w:t>
      </w:r>
      <w:r>
        <w:rPr>
          <w:rFonts w:hint="eastAsia" w:ascii="仿宋" w:hAnsi="仿宋" w:eastAsia="仿宋"/>
          <w:sz w:val="32"/>
          <w:szCs w:val="32"/>
          <w:highlight w:val="none"/>
          <w:lang w:eastAsia="zh-CN"/>
        </w:rPr>
        <w:t>相关人员</w:t>
      </w:r>
      <w:r>
        <w:rPr>
          <w:rFonts w:hint="eastAsia" w:ascii="仿宋" w:hAnsi="仿宋" w:eastAsia="仿宋"/>
          <w:sz w:val="32"/>
          <w:szCs w:val="32"/>
          <w:highlight w:val="none"/>
        </w:rPr>
        <w:t>的标准化培训。协调有关部门制定鼓励标准化</w:t>
      </w:r>
      <w:r>
        <w:rPr>
          <w:rFonts w:hint="eastAsia" w:ascii="仿宋" w:hAnsi="仿宋" w:eastAsia="仿宋"/>
          <w:sz w:val="32"/>
          <w:szCs w:val="32"/>
          <w:highlight w:val="none"/>
          <w:lang w:eastAsia="zh-CN"/>
        </w:rPr>
        <w:t>试点建设</w:t>
      </w:r>
      <w:r>
        <w:rPr>
          <w:rFonts w:hint="eastAsia" w:ascii="仿宋" w:hAnsi="仿宋" w:eastAsia="仿宋"/>
          <w:sz w:val="32"/>
          <w:szCs w:val="32"/>
          <w:highlight w:val="none"/>
        </w:rPr>
        <w:t>的配套支持政策。充分发挥市场机制作用，带动多方投入，不断提高</w:t>
      </w:r>
      <w:r>
        <w:rPr>
          <w:rFonts w:hint="eastAsia" w:ascii="仿宋" w:hAnsi="仿宋" w:eastAsia="仿宋"/>
          <w:sz w:val="32"/>
          <w:szCs w:val="32"/>
          <w:highlight w:val="none"/>
          <w:lang w:eastAsia="zh-CN"/>
        </w:rPr>
        <w:t>试点建设</w:t>
      </w:r>
      <w:r>
        <w:rPr>
          <w:rFonts w:hint="eastAsia" w:ascii="仿宋" w:hAnsi="仿宋" w:eastAsia="仿宋"/>
          <w:sz w:val="32"/>
          <w:szCs w:val="32"/>
          <w:highlight w:val="none"/>
        </w:rPr>
        <w:t>质量和效率。加强标准的发布解读、宣贯培训和示范推广。</w:t>
      </w:r>
    </w:p>
    <w:p>
      <w:pPr>
        <w:pStyle w:val="2"/>
        <w:jc w:val="center"/>
        <w:rPr>
          <w:rFonts w:hint="eastAsia" w:ascii="黑体" w:hAnsi="黑体" w:eastAsia="黑体"/>
          <w:b w:val="0"/>
          <w:bCs w:val="0"/>
          <w:sz w:val="32"/>
          <w:szCs w:val="32"/>
          <w:lang w:eastAsia="zh-CN"/>
        </w:rPr>
      </w:pPr>
      <w:bookmarkStart w:id="17" w:name="_Toc87536602"/>
      <w:bookmarkStart w:id="18" w:name="_Toc991806991"/>
      <w:r>
        <w:rPr>
          <w:rFonts w:hint="eastAsia" w:ascii="黑体" w:hAnsi="黑体" w:eastAsia="黑体"/>
          <w:b w:val="0"/>
          <w:bCs w:val="0"/>
          <w:sz w:val="32"/>
          <w:szCs w:val="32"/>
        </w:rPr>
        <w:t>第五章　试点的评估</w:t>
      </w:r>
      <w:bookmarkEnd w:id="17"/>
      <w:r>
        <w:rPr>
          <w:rFonts w:hint="eastAsia" w:ascii="黑体" w:hAnsi="黑体" w:eastAsia="黑体"/>
          <w:b w:val="0"/>
          <w:bCs w:val="0"/>
          <w:sz w:val="32"/>
          <w:szCs w:val="32"/>
          <w:lang w:eastAsia="zh-CN"/>
        </w:rPr>
        <w:t>验收</w:t>
      </w:r>
      <w:bookmarkEnd w:id="18"/>
    </w:p>
    <w:p>
      <w:pPr>
        <w:spacing w:line="594" w:lineRule="exact"/>
        <w:ind w:firstLine="640" w:firstLineChars="200"/>
        <w:rPr>
          <w:rFonts w:hint="eastAsia"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第十</w:t>
      </w:r>
      <w:r>
        <w:rPr>
          <w:rFonts w:hint="eastAsia" w:ascii="楷体" w:hAnsi="楷体" w:eastAsia="楷体"/>
          <w:color w:val="000000" w:themeColor="text1"/>
          <w:sz w:val="32"/>
          <w:szCs w:val="32"/>
          <w:lang w:eastAsia="zh-CN"/>
          <w14:textFill>
            <w14:solidFill>
              <w14:schemeClr w14:val="tx1"/>
            </w14:solidFill>
          </w14:textFill>
        </w:rPr>
        <w:t>二</w:t>
      </w:r>
      <w:r>
        <w:rPr>
          <w:rFonts w:hint="eastAsia" w:ascii="楷体" w:hAnsi="楷体" w:eastAsia="楷体"/>
          <w:color w:val="000000" w:themeColor="text1"/>
          <w:sz w:val="32"/>
          <w:szCs w:val="32"/>
          <w14:textFill>
            <w14:solidFill>
              <w14:schemeClr w14:val="tx1"/>
            </w14:solidFill>
          </w14:textFill>
        </w:rPr>
        <w:t>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试点的评估</w:t>
      </w:r>
      <w:r>
        <w:rPr>
          <w:rFonts w:hint="eastAsia" w:ascii="仿宋" w:hAnsi="仿宋" w:eastAsia="仿宋"/>
          <w:sz w:val="32"/>
          <w:szCs w:val="32"/>
          <w:lang w:eastAsia="zh-CN"/>
        </w:rPr>
        <w:t>验收</w:t>
      </w:r>
      <w:r>
        <w:rPr>
          <w:rFonts w:hint="eastAsia" w:ascii="仿宋" w:hAnsi="仿宋" w:eastAsia="仿宋"/>
          <w:sz w:val="32"/>
          <w:szCs w:val="32"/>
        </w:rPr>
        <w:t>由商务部、市场监管总局</w:t>
      </w:r>
      <w:r>
        <w:rPr>
          <w:rFonts w:hint="eastAsia" w:ascii="仿宋" w:hAnsi="仿宋" w:eastAsia="仿宋"/>
          <w:sz w:val="32"/>
          <w:szCs w:val="32"/>
          <w:lang w:eastAsia="zh-CN"/>
        </w:rPr>
        <w:t>共同</w:t>
      </w:r>
      <w:r>
        <w:rPr>
          <w:rFonts w:hint="eastAsia" w:ascii="仿宋" w:hAnsi="仿宋" w:eastAsia="仿宋"/>
          <w:sz w:val="32"/>
          <w:szCs w:val="32"/>
        </w:rPr>
        <w:t>组织，委托试点所在省级商务、市场监管部门</w:t>
      </w:r>
      <w:r>
        <w:rPr>
          <w:rFonts w:hint="eastAsia" w:ascii="仿宋" w:hAnsi="仿宋" w:eastAsia="仿宋"/>
          <w:sz w:val="32"/>
          <w:szCs w:val="32"/>
          <w:lang w:eastAsia="zh-CN"/>
        </w:rPr>
        <w:t>具体</w:t>
      </w:r>
      <w:r>
        <w:rPr>
          <w:rFonts w:hint="eastAsia" w:ascii="仿宋" w:hAnsi="仿宋" w:eastAsia="仿宋"/>
          <w:sz w:val="32"/>
          <w:szCs w:val="32"/>
        </w:rPr>
        <w:t>负责。</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第十</w:t>
      </w:r>
      <w:r>
        <w:rPr>
          <w:rFonts w:hint="eastAsia" w:ascii="楷体" w:hAnsi="楷体" w:eastAsia="楷体"/>
          <w:color w:val="000000" w:themeColor="text1"/>
          <w:sz w:val="32"/>
          <w:szCs w:val="32"/>
          <w:lang w:eastAsia="zh-CN"/>
          <w14:textFill>
            <w14:solidFill>
              <w14:schemeClr w14:val="tx1"/>
            </w14:solidFill>
          </w14:textFill>
        </w:rPr>
        <w:t>三</w:t>
      </w:r>
      <w:r>
        <w:rPr>
          <w:rFonts w:hint="eastAsia" w:ascii="楷体" w:hAnsi="楷体" w:eastAsia="楷体"/>
          <w:color w:val="000000" w:themeColor="text1"/>
          <w:sz w:val="32"/>
          <w:szCs w:val="32"/>
          <w14:textFill>
            <w14:solidFill>
              <w14:schemeClr w14:val="tx1"/>
            </w14:solidFill>
          </w14:textFill>
        </w:rPr>
        <w:t>条</w:t>
      </w:r>
      <w:r>
        <w:rPr>
          <w:rFonts w:hint="eastAsia" w:ascii="仿宋" w:hAnsi="仿宋" w:eastAsia="仿宋"/>
          <w:sz w:val="32"/>
          <w:szCs w:val="32"/>
        </w:rPr>
        <w:t>　试点工作一般为2年，标准体系应运行半年以上方可申请评估</w:t>
      </w:r>
      <w:r>
        <w:rPr>
          <w:rFonts w:hint="eastAsia" w:ascii="仿宋" w:hAnsi="仿宋" w:eastAsia="仿宋"/>
          <w:sz w:val="32"/>
          <w:szCs w:val="32"/>
          <w:lang w:eastAsia="zh-CN"/>
        </w:rPr>
        <w:t>验收</w:t>
      </w:r>
      <w:r>
        <w:rPr>
          <w:rFonts w:hint="eastAsia" w:ascii="仿宋" w:hAnsi="仿宋" w:eastAsia="仿宋"/>
          <w:sz w:val="32"/>
          <w:szCs w:val="32"/>
        </w:rPr>
        <w:t>。试点期满前2个月,试点单位应按照试点任务进行自查自评,自查合格的</w:t>
      </w:r>
      <w:r>
        <w:rPr>
          <w:rFonts w:hint="eastAsia" w:ascii="仿宋" w:hAnsi="仿宋" w:eastAsia="仿宋"/>
          <w:sz w:val="32"/>
          <w:szCs w:val="32"/>
          <w:lang w:eastAsia="zh-CN"/>
        </w:rPr>
        <w:t>可</w:t>
      </w:r>
      <w:r>
        <w:rPr>
          <w:rFonts w:hint="eastAsia" w:ascii="仿宋" w:hAnsi="仿宋" w:eastAsia="仿宋"/>
          <w:sz w:val="32"/>
          <w:szCs w:val="32"/>
        </w:rPr>
        <w:t>向省级商务、市场监管部门提出</w:t>
      </w:r>
      <w:r>
        <w:rPr>
          <w:rFonts w:hint="eastAsia" w:ascii="仿宋" w:hAnsi="仿宋" w:eastAsia="仿宋"/>
          <w:sz w:val="32"/>
          <w:szCs w:val="32"/>
          <w:lang w:eastAsia="zh-CN"/>
        </w:rPr>
        <w:t>评估</w:t>
      </w:r>
      <w:r>
        <w:rPr>
          <w:rFonts w:hint="eastAsia" w:ascii="仿宋" w:hAnsi="仿宋" w:eastAsia="仿宋"/>
          <w:sz w:val="32"/>
          <w:szCs w:val="32"/>
        </w:rPr>
        <w:t>验收申请</w:t>
      </w:r>
      <w:r>
        <w:rPr>
          <w:rFonts w:hint="eastAsia" w:ascii="仿宋" w:hAnsi="仿宋" w:eastAsia="仿宋"/>
          <w:sz w:val="32"/>
          <w:szCs w:val="32"/>
          <w:lang w:eastAsia="zh-CN"/>
        </w:rPr>
        <w:t>，并提交验收申请表</w:t>
      </w:r>
      <w:r>
        <w:rPr>
          <w:rFonts w:hint="eastAsia" w:ascii="仿宋" w:hAnsi="仿宋" w:eastAsia="仿宋"/>
          <w:sz w:val="32"/>
          <w:szCs w:val="32"/>
        </w:rPr>
        <w:t>（见附件2）。</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第十</w:t>
      </w:r>
      <w:r>
        <w:rPr>
          <w:rFonts w:hint="eastAsia" w:ascii="楷体" w:hAnsi="楷体" w:eastAsia="楷体"/>
          <w:color w:val="000000" w:themeColor="text1"/>
          <w:sz w:val="32"/>
          <w:szCs w:val="32"/>
          <w:lang w:eastAsia="zh-CN"/>
          <w14:textFill>
            <w14:solidFill>
              <w14:schemeClr w14:val="tx1"/>
            </w14:solidFill>
          </w14:textFill>
        </w:rPr>
        <w:t>四</w:t>
      </w:r>
      <w:r>
        <w:rPr>
          <w:rFonts w:hint="eastAsia" w:ascii="楷体" w:hAnsi="楷体" w:eastAsia="楷体"/>
          <w:color w:val="000000" w:themeColor="text1"/>
          <w:sz w:val="32"/>
          <w:szCs w:val="32"/>
          <w14:textFill>
            <w14:solidFill>
              <w14:schemeClr w14:val="tx1"/>
            </w14:solidFill>
          </w14:textFill>
        </w:rPr>
        <w:t>条</w:t>
      </w:r>
      <w:r>
        <w:rPr>
          <w:rFonts w:hint="eastAsia" w:ascii="仿宋" w:hAnsi="仿宋" w:eastAsia="仿宋"/>
          <w:sz w:val="32"/>
          <w:szCs w:val="32"/>
        </w:rPr>
        <w:t>　试点单位在试点期间如发生过重大质量、安全、环保等事故的，或受过通报批评、处分、媒体曝光的,</w:t>
      </w:r>
      <w:r>
        <w:rPr>
          <w:rFonts w:hint="eastAsia" w:ascii="仿宋" w:hAnsi="仿宋" w:eastAsia="仿宋"/>
          <w:sz w:val="32"/>
          <w:szCs w:val="32"/>
          <w:lang w:eastAsia="zh-CN"/>
        </w:rPr>
        <w:t>应</w:t>
      </w:r>
      <w:r>
        <w:rPr>
          <w:rFonts w:hint="eastAsia" w:ascii="仿宋" w:hAnsi="仿宋" w:eastAsia="仿宋"/>
          <w:sz w:val="32"/>
          <w:szCs w:val="32"/>
        </w:rPr>
        <w:t>不予受理。</w:t>
      </w:r>
    </w:p>
    <w:p>
      <w:pPr>
        <w:spacing w:line="594" w:lineRule="exact"/>
        <w:ind w:firstLine="640" w:firstLineChars="200"/>
        <w:rPr>
          <w:rFonts w:hint="eastAsia" w:ascii="楷体" w:hAnsi="楷体" w:eastAsia="仿宋"/>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eastAsia="zh-CN"/>
          <w14:textFill>
            <w14:solidFill>
              <w14:schemeClr w14:val="tx1"/>
            </w14:solidFill>
          </w14:textFill>
        </w:rPr>
        <w:t>十五</w:t>
      </w:r>
      <w:r>
        <w:rPr>
          <w:rFonts w:hint="eastAsia" w:ascii="楷体" w:hAnsi="楷体" w:eastAsia="楷体"/>
          <w:color w:val="000000" w:themeColor="text1"/>
          <w:sz w:val="32"/>
          <w:szCs w:val="32"/>
          <w14:textFill>
            <w14:solidFill>
              <w14:schemeClr w14:val="tx1"/>
            </w14:solidFill>
          </w14:textFill>
        </w:rPr>
        <w:t>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省级商务、市场监管部门</w:t>
      </w:r>
      <w:r>
        <w:rPr>
          <w:rFonts w:hint="eastAsia" w:ascii="仿宋" w:hAnsi="仿宋" w:eastAsia="仿宋"/>
          <w:sz w:val="32"/>
          <w:szCs w:val="32"/>
          <w:lang w:eastAsia="zh-CN"/>
        </w:rPr>
        <w:t>应制定评估验收方案，成立评估验收组。</w:t>
      </w:r>
      <w:r>
        <w:rPr>
          <w:rFonts w:hint="eastAsia" w:ascii="仿宋" w:hAnsi="仿宋" w:eastAsia="仿宋"/>
          <w:sz w:val="32"/>
          <w:szCs w:val="32"/>
        </w:rPr>
        <w:t>评估</w:t>
      </w:r>
      <w:r>
        <w:rPr>
          <w:rFonts w:hint="eastAsia" w:ascii="仿宋" w:hAnsi="仿宋" w:eastAsia="仿宋"/>
          <w:sz w:val="32"/>
          <w:szCs w:val="32"/>
          <w:lang w:eastAsia="zh-CN"/>
        </w:rPr>
        <w:t>验收</w:t>
      </w:r>
      <w:r>
        <w:rPr>
          <w:rFonts w:hint="eastAsia" w:ascii="仿宋" w:hAnsi="仿宋" w:eastAsia="仿宋"/>
          <w:sz w:val="32"/>
          <w:szCs w:val="32"/>
        </w:rPr>
        <w:t>组由标准化、商贸流通</w:t>
      </w:r>
      <w:r>
        <w:rPr>
          <w:rFonts w:hint="eastAsia" w:ascii="仿宋" w:hAnsi="仿宋" w:eastAsia="仿宋"/>
          <w:sz w:val="32"/>
          <w:szCs w:val="32"/>
          <w:lang w:eastAsia="zh-CN"/>
        </w:rPr>
        <w:t>相关</w:t>
      </w:r>
      <w:r>
        <w:rPr>
          <w:rFonts w:hint="eastAsia" w:ascii="仿宋" w:hAnsi="仿宋" w:eastAsia="仿宋"/>
          <w:sz w:val="32"/>
          <w:szCs w:val="32"/>
        </w:rPr>
        <w:t>行业专家和管理人员组成，成员一般为5-7人。评估</w:t>
      </w:r>
      <w:r>
        <w:rPr>
          <w:rFonts w:hint="eastAsia" w:ascii="仿宋" w:hAnsi="仿宋" w:eastAsia="仿宋"/>
          <w:sz w:val="32"/>
          <w:szCs w:val="32"/>
          <w:lang w:eastAsia="zh-CN"/>
        </w:rPr>
        <w:t>验收</w:t>
      </w:r>
      <w:r>
        <w:rPr>
          <w:rFonts w:hint="eastAsia" w:ascii="仿宋" w:hAnsi="仿宋" w:eastAsia="仿宋"/>
          <w:sz w:val="32"/>
          <w:szCs w:val="32"/>
        </w:rPr>
        <w:t>组</w:t>
      </w:r>
      <w:r>
        <w:rPr>
          <w:rFonts w:hint="eastAsia" w:ascii="仿宋" w:hAnsi="仿宋" w:eastAsia="仿宋"/>
          <w:sz w:val="32"/>
          <w:szCs w:val="32"/>
          <w:lang w:eastAsia="zh-CN"/>
        </w:rPr>
        <w:t>要</w:t>
      </w:r>
      <w:r>
        <w:rPr>
          <w:rFonts w:hint="eastAsia" w:ascii="仿宋" w:hAnsi="仿宋" w:eastAsia="仿宋"/>
          <w:sz w:val="32"/>
          <w:szCs w:val="32"/>
        </w:rPr>
        <w:t>依据试点</w:t>
      </w:r>
      <w:r>
        <w:rPr>
          <w:rFonts w:hint="eastAsia" w:ascii="仿宋" w:hAnsi="仿宋" w:eastAsia="仿宋"/>
          <w:sz w:val="32"/>
          <w:szCs w:val="32"/>
          <w:lang w:eastAsia="zh-CN"/>
        </w:rPr>
        <w:t>评估计分表</w:t>
      </w:r>
      <w:r>
        <w:rPr>
          <w:rFonts w:hint="eastAsia" w:ascii="仿宋" w:hAnsi="仿宋" w:eastAsia="仿宋"/>
          <w:sz w:val="32"/>
          <w:szCs w:val="32"/>
        </w:rPr>
        <w:t>（见附件3）对试点单位进行现场考核评估</w:t>
      </w:r>
      <w:r>
        <w:rPr>
          <w:rFonts w:hint="eastAsia" w:ascii="仿宋" w:hAnsi="仿宋" w:eastAsia="仿宋"/>
          <w:sz w:val="32"/>
          <w:szCs w:val="32"/>
          <w:lang w:eastAsia="zh-CN"/>
        </w:rPr>
        <w:t>。</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第十</w:t>
      </w:r>
      <w:r>
        <w:rPr>
          <w:rFonts w:hint="eastAsia" w:ascii="楷体" w:hAnsi="楷体" w:eastAsia="楷体"/>
          <w:color w:val="000000" w:themeColor="text1"/>
          <w:sz w:val="32"/>
          <w:szCs w:val="32"/>
          <w:lang w:eastAsia="zh-CN"/>
          <w14:textFill>
            <w14:solidFill>
              <w14:schemeClr w14:val="tx1"/>
            </w14:solidFill>
          </w14:textFill>
        </w:rPr>
        <w:t>六</w:t>
      </w:r>
      <w:r>
        <w:rPr>
          <w:rFonts w:hint="eastAsia" w:ascii="楷体" w:hAnsi="楷体" w:eastAsia="楷体"/>
          <w:color w:val="000000" w:themeColor="text1"/>
          <w:sz w:val="32"/>
          <w:szCs w:val="32"/>
          <w14:textFill>
            <w14:solidFill>
              <w14:schemeClr w14:val="tx1"/>
            </w14:solidFill>
          </w14:textFill>
        </w:rPr>
        <w:t>条</w:t>
      </w:r>
      <w:r>
        <w:rPr>
          <w:rFonts w:hint="eastAsia" w:ascii="仿宋" w:hAnsi="仿宋" w:eastAsia="仿宋"/>
          <w:sz w:val="32"/>
          <w:szCs w:val="32"/>
        </w:rPr>
        <w:t>　现场考核评估程序：</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（一）宣布评估</w:t>
      </w:r>
      <w:r>
        <w:rPr>
          <w:rFonts w:hint="eastAsia" w:ascii="仿宋" w:hAnsi="仿宋" w:eastAsia="仿宋"/>
          <w:sz w:val="32"/>
          <w:szCs w:val="32"/>
          <w:lang w:eastAsia="zh-CN"/>
        </w:rPr>
        <w:t>验收</w:t>
      </w:r>
      <w:r>
        <w:rPr>
          <w:rFonts w:hint="eastAsia" w:ascii="仿宋" w:hAnsi="仿宋" w:eastAsia="仿宋"/>
          <w:sz w:val="32"/>
          <w:szCs w:val="32"/>
        </w:rPr>
        <w:t>组成员、评估程序及有关事宜；</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（二）听取试点单位工作汇报；</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（三）查阅必备的文件、记录、标准文本等资料；</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（四）考核服务现场；</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（五）依据试点</w:t>
      </w:r>
      <w:r>
        <w:rPr>
          <w:rFonts w:hint="eastAsia" w:ascii="仿宋" w:hAnsi="仿宋" w:eastAsia="仿宋"/>
          <w:sz w:val="32"/>
          <w:szCs w:val="32"/>
          <w:lang w:eastAsia="zh-CN"/>
        </w:rPr>
        <w:t>评估计分表</w:t>
      </w:r>
      <w:r>
        <w:rPr>
          <w:rFonts w:hint="eastAsia" w:ascii="仿宋" w:hAnsi="仿宋" w:eastAsia="仿宋"/>
          <w:sz w:val="32"/>
          <w:szCs w:val="32"/>
        </w:rPr>
        <w:t>进行测评；</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（六）形成考核评估结论；</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（七）向试点单位通报评估</w:t>
      </w:r>
      <w:r>
        <w:rPr>
          <w:rFonts w:hint="eastAsia" w:ascii="仿宋" w:hAnsi="仿宋" w:eastAsia="仿宋"/>
          <w:sz w:val="32"/>
          <w:szCs w:val="32"/>
          <w:lang w:eastAsia="zh-CN"/>
        </w:rPr>
        <w:t>验收</w:t>
      </w:r>
      <w:r>
        <w:rPr>
          <w:rFonts w:hint="eastAsia" w:ascii="仿宋" w:hAnsi="仿宋" w:eastAsia="仿宋"/>
          <w:sz w:val="32"/>
          <w:szCs w:val="32"/>
        </w:rPr>
        <w:t>情况，提出改进意见和建议。</w:t>
      </w:r>
    </w:p>
    <w:p>
      <w:pPr>
        <w:spacing w:line="594" w:lineRule="exact"/>
        <w:ind w:firstLine="640" w:firstLineChars="200"/>
        <w:rPr>
          <w:rFonts w:ascii="仿宋" w:hAnsi="仿宋" w:eastAsia="仿宋"/>
          <w:sz w:val="32"/>
          <w:szCs w:val="32"/>
        </w:rPr>
      </w:pPr>
      <w:r>
        <w:rPr>
          <w:rFonts w:hint="eastAsia" w:ascii="楷体" w:hAnsi="楷体" w:eastAsia="楷体"/>
          <w:color w:val="000000" w:themeColor="text1"/>
          <w:sz w:val="32"/>
          <w:szCs w:val="32"/>
          <w14:textFill>
            <w14:solidFill>
              <w14:schemeClr w14:val="tx1"/>
            </w14:solidFill>
          </w14:textFill>
        </w:rPr>
        <w:t>第十</w:t>
      </w:r>
      <w:r>
        <w:rPr>
          <w:rFonts w:hint="eastAsia" w:ascii="楷体" w:hAnsi="楷体" w:eastAsia="楷体"/>
          <w:color w:val="000000" w:themeColor="text1"/>
          <w:sz w:val="32"/>
          <w:szCs w:val="32"/>
          <w:lang w:eastAsia="zh-CN"/>
          <w14:textFill>
            <w14:solidFill>
              <w14:schemeClr w14:val="tx1"/>
            </w14:solidFill>
          </w14:textFill>
        </w:rPr>
        <w:t>七</w:t>
      </w:r>
      <w:r>
        <w:rPr>
          <w:rFonts w:hint="eastAsia" w:ascii="楷体" w:hAnsi="楷体" w:eastAsia="楷体"/>
          <w:color w:val="000000" w:themeColor="text1"/>
          <w:sz w:val="32"/>
          <w:szCs w:val="32"/>
          <w14:textFill>
            <w14:solidFill>
              <w14:schemeClr w14:val="tx1"/>
            </w14:solidFill>
          </w14:textFill>
        </w:rPr>
        <w:t>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评估</w:t>
      </w:r>
      <w:r>
        <w:rPr>
          <w:rFonts w:hint="eastAsia" w:ascii="仿宋" w:hAnsi="仿宋" w:eastAsia="仿宋"/>
          <w:sz w:val="32"/>
          <w:szCs w:val="32"/>
          <w:lang w:eastAsia="zh-CN"/>
        </w:rPr>
        <w:t>验收</w:t>
      </w:r>
      <w:r>
        <w:rPr>
          <w:rFonts w:hint="eastAsia" w:ascii="仿宋" w:hAnsi="仿宋" w:eastAsia="仿宋"/>
          <w:sz w:val="32"/>
          <w:szCs w:val="32"/>
        </w:rPr>
        <w:t>组</w:t>
      </w:r>
      <w:r>
        <w:rPr>
          <w:rFonts w:hint="eastAsia" w:ascii="仿宋" w:hAnsi="仿宋" w:eastAsia="仿宋"/>
          <w:sz w:val="32"/>
          <w:szCs w:val="32"/>
          <w:lang w:eastAsia="zh-CN"/>
        </w:rPr>
        <w:t>要及时</w:t>
      </w:r>
      <w:r>
        <w:rPr>
          <w:rFonts w:hint="eastAsia" w:ascii="仿宋" w:hAnsi="仿宋" w:eastAsia="仿宋"/>
          <w:sz w:val="32"/>
          <w:szCs w:val="32"/>
        </w:rPr>
        <w:t>向省级商务、市场监管部门提交试点评估报告(见附件4)。</w:t>
      </w:r>
      <w:r>
        <w:rPr>
          <w:rFonts w:hint="eastAsia" w:ascii="仿宋" w:hAnsi="仿宋" w:eastAsia="仿宋"/>
          <w:sz w:val="32"/>
          <w:szCs w:val="32"/>
          <w:lang w:eastAsia="zh-CN"/>
        </w:rPr>
        <w:t>原则上</w:t>
      </w:r>
      <w:r>
        <w:rPr>
          <w:rFonts w:hint="eastAsia" w:ascii="仿宋" w:hAnsi="仿宋" w:eastAsia="仿宋"/>
          <w:sz w:val="32"/>
          <w:szCs w:val="32"/>
        </w:rPr>
        <w:t>评估得分达到</w:t>
      </w:r>
      <w:r>
        <w:rPr>
          <w:rFonts w:hint="eastAsia" w:ascii="仿宋" w:hAnsi="仿宋" w:eastAsia="仿宋"/>
          <w:sz w:val="32"/>
          <w:szCs w:val="32"/>
          <w:lang w:val="en-US" w:eastAsia="zh-CN"/>
        </w:rPr>
        <w:t>8</w:t>
      </w:r>
      <w:r>
        <w:rPr>
          <w:rFonts w:hint="eastAsia" w:ascii="仿宋" w:hAnsi="仿宋" w:eastAsia="仿宋"/>
          <w:sz w:val="32"/>
          <w:szCs w:val="32"/>
        </w:rPr>
        <w:t>0分</w:t>
      </w:r>
      <w:r>
        <w:rPr>
          <w:rFonts w:hint="eastAsia" w:ascii="仿宋" w:hAnsi="仿宋" w:eastAsia="仿宋"/>
          <w:sz w:val="32"/>
          <w:szCs w:val="32"/>
          <w:lang w:eastAsia="zh-CN"/>
        </w:rPr>
        <w:t>（含）</w:t>
      </w:r>
      <w:r>
        <w:rPr>
          <w:rFonts w:hint="eastAsia" w:ascii="仿宋" w:hAnsi="仿宋" w:eastAsia="仿宋"/>
          <w:sz w:val="32"/>
          <w:szCs w:val="32"/>
        </w:rPr>
        <w:t>以上的试点为</w:t>
      </w:r>
      <w:r>
        <w:rPr>
          <w:rFonts w:hint="eastAsia" w:ascii="仿宋" w:hAnsi="仿宋" w:eastAsia="仿宋"/>
          <w:sz w:val="32"/>
          <w:szCs w:val="32"/>
          <w:lang w:eastAsia="zh-CN"/>
        </w:rPr>
        <w:t>验收</w:t>
      </w:r>
      <w:r>
        <w:rPr>
          <w:rFonts w:hint="eastAsia" w:ascii="仿宋" w:hAnsi="仿宋" w:eastAsia="仿宋"/>
          <w:sz w:val="32"/>
          <w:szCs w:val="32"/>
        </w:rPr>
        <w:t>合格。</w:t>
      </w:r>
    </w:p>
    <w:p>
      <w:pPr>
        <w:pStyle w:val="6"/>
        <w:widowControl/>
        <w:numPr>
          <w:ilvl w:val="0"/>
          <w:numId w:val="0"/>
        </w:numPr>
        <w:tabs>
          <w:tab w:val="left" w:pos="0"/>
        </w:tabs>
        <w:spacing w:after="0" w:line="594" w:lineRule="exact"/>
        <w:rPr>
          <w:rFonts w:ascii="仿宋" w:hAnsi="仿宋" w:eastAsia="仿宋"/>
          <w:sz w:val="32"/>
          <w:szCs w:val="32"/>
        </w:rPr>
      </w:pPr>
      <w:r>
        <w:rPr>
          <w:rFonts w:hint="eastAsia" w:ascii="楷体" w:hAnsi="楷体" w:eastAsia="楷体"/>
          <w:color w:val="000000" w:themeColor="text1"/>
          <w:sz w:val="32"/>
          <w:szCs w:val="32"/>
          <w:lang w:val="en-US" w:eastAsia="zh-CN"/>
          <w14:textFill>
            <w14:solidFill>
              <w14:schemeClr w14:val="tx1"/>
            </w14:solidFill>
          </w14:textFill>
        </w:rPr>
        <w:t xml:space="preserve">    </w:t>
      </w:r>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eastAsia="zh-CN"/>
          <w14:textFill>
            <w14:solidFill>
              <w14:schemeClr w14:val="tx1"/>
            </w14:solidFill>
          </w14:textFill>
        </w:rPr>
        <w:t>十八</w:t>
      </w:r>
      <w:r>
        <w:rPr>
          <w:rFonts w:hint="eastAsia" w:ascii="楷体" w:hAnsi="楷体" w:eastAsia="楷体"/>
          <w:color w:val="000000" w:themeColor="text1"/>
          <w:sz w:val="32"/>
          <w:szCs w:val="32"/>
          <w14:textFill>
            <w14:solidFill>
              <w14:schemeClr w14:val="tx1"/>
            </w14:solidFill>
          </w14:textFill>
        </w:rPr>
        <w:t>条</w:t>
      </w:r>
      <w:r>
        <w:rPr>
          <w:rFonts w:hint="eastAsia" w:ascii="方正仿宋简体" w:eastAsia="方正仿宋简体"/>
          <w:color w:val="000000" w:themeColor="text1"/>
          <w:sz w:val="32"/>
          <w:szCs w:val="32"/>
          <w14:textFill>
            <w14:solidFill>
              <w14:schemeClr w14:val="tx1"/>
            </w14:solidFill>
          </w14:textFill>
        </w:rPr>
        <w:t>　</w:t>
      </w:r>
      <w:r>
        <w:rPr>
          <w:rFonts w:hint="eastAsia" w:ascii="仿宋" w:hAnsi="仿宋" w:eastAsia="仿宋"/>
          <w:sz w:val="32"/>
          <w:szCs w:val="32"/>
        </w:rPr>
        <w:t>省级商务、市场监管部门对未通过评估</w:t>
      </w:r>
      <w:r>
        <w:rPr>
          <w:rFonts w:hint="eastAsia" w:ascii="仿宋" w:hAnsi="仿宋" w:eastAsia="仿宋"/>
          <w:sz w:val="32"/>
          <w:szCs w:val="32"/>
          <w:lang w:eastAsia="zh-CN"/>
        </w:rPr>
        <w:t>验收</w:t>
      </w:r>
      <w:r>
        <w:rPr>
          <w:rFonts w:hint="eastAsia" w:ascii="仿宋" w:hAnsi="仿宋" w:eastAsia="仿宋"/>
          <w:sz w:val="32"/>
          <w:szCs w:val="32"/>
        </w:rPr>
        <w:t>的试点单位</w:t>
      </w:r>
      <w:r>
        <w:rPr>
          <w:rFonts w:hint="eastAsia" w:ascii="仿宋" w:hAnsi="仿宋" w:eastAsia="仿宋"/>
          <w:sz w:val="32"/>
          <w:szCs w:val="32"/>
          <w:lang w:eastAsia="zh-CN"/>
        </w:rPr>
        <w:t>应说明原因，并</w:t>
      </w:r>
      <w:r>
        <w:rPr>
          <w:rFonts w:hint="eastAsia" w:ascii="仿宋" w:hAnsi="仿宋" w:eastAsia="仿宋"/>
          <w:sz w:val="32"/>
          <w:szCs w:val="32"/>
        </w:rPr>
        <w:t>提出整改意见</w:t>
      </w:r>
      <w:r>
        <w:rPr>
          <w:rFonts w:hint="eastAsia" w:ascii="仿宋" w:hAnsi="仿宋" w:eastAsia="仿宋"/>
          <w:sz w:val="32"/>
          <w:szCs w:val="32"/>
          <w:lang w:eastAsia="zh-CN"/>
        </w:rPr>
        <w:t>。</w:t>
      </w:r>
      <w:r>
        <w:rPr>
          <w:rFonts w:hint="eastAsia" w:ascii="仿宋" w:hAnsi="仿宋" w:eastAsia="仿宋"/>
          <w:sz w:val="32"/>
          <w:szCs w:val="32"/>
        </w:rPr>
        <w:t>对通过评估</w:t>
      </w:r>
      <w:r>
        <w:rPr>
          <w:rFonts w:hint="eastAsia" w:ascii="仿宋" w:hAnsi="仿宋" w:eastAsia="仿宋"/>
          <w:sz w:val="32"/>
          <w:szCs w:val="32"/>
          <w:lang w:eastAsia="zh-CN"/>
        </w:rPr>
        <w:t>验收</w:t>
      </w:r>
      <w:r>
        <w:rPr>
          <w:rFonts w:hint="eastAsia" w:ascii="仿宋" w:hAnsi="仿宋" w:eastAsia="仿宋"/>
          <w:sz w:val="32"/>
          <w:szCs w:val="32"/>
        </w:rPr>
        <w:t>的试点单位</w:t>
      </w:r>
      <w:r>
        <w:rPr>
          <w:rFonts w:hint="eastAsia" w:ascii="仿宋" w:hAnsi="仿宋" w:eastAsia="仿宋"/>
          <w:sz w:val="32"/>
          <w:szCs w:val="32"/>
          <w:lang w:eastAsia="zh-CN"/>
        </w:rPr>
        <w:t>应</w:t>
      </w:r>
      <w:r>
        <w:rPr>
          <w:rFonts w:hint="eastAsia" w:ascii="仿宋" w:hAnsi="仿宋" w:eastAsia="仿宋"/>
          <w:sz w:val="32"/>
          <w:szCs w:val="32"/>
        </w:rPr>
        <w:t>将</w:t>
      </w:r>
      <w:r>
        <w:rPr>
          <w:rFonts w:hint="eastAsia" w:ascii="仿宋" w:hAnsi="仿宋" w:eastAsia="仿宋"/>
          <w:sz w:val="32"/>
          <w:szCs w:val="32"/>
          <w:lang w:eastAsia="zh-CN"/>
        </w:rPr>
        <w:t>评估</w:t>
      </w:r>
      <w:r>
        <w:rPr>
          <w:rFonts w:hint="eastAsia" w:ascii="仿宋" w:hAnsi="仿宋" w:eastAsia="仿宋"/>
          <w:sz w:val="32"/>
          <w:szCs w:val="32"/>
        </w:rPr>
        <w:t>验收结果及相关材料及时报送商务部（市场建设司）、市场监管总局（标准技术司）。</w:t>
      </w:r>
    </w:p>
    <w:p>
      <w:pPr>
        <w:spacing w:line="594" w:lineRule="exact"/>
        <w:ind w:firstLine="640" w:firstLineChars="200"/>
        <w:rPr>
          <w:rFonts w:ascii="仿宋" w:hAnsi="仿宋" w:eastAsia="仿宋"/>
          <w:sz w:val="32"/>
          <w:szCs w:val="32"/>
        </w:rPr>
      </w:pPr>
      <w:bookmarkStart w:id="19" w:name="_Toc87536603"/>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eastAsia="zh-CN"/>
          <w14:textFill>
            <w14:solidFill>
              <w14:schemeClr w14:val="tx1"/>
            </w14:solidFill>
          </w14:textFill>
        </w:rPr>
        <w:t>十九</w:t>
      </w:r>
      <w:r>
        <w:rPr>
          <w:rFonts w:hint="eastAsia" w:ascii="楷体" w:hAnsi="楷体" w:eastAsia="楷体"/>
          <w:color w:val="000000" w:themeColor="text1"/>
          <w:sz w:val="32"/>
          <w:szCs w:val="32"/>
          <w14:textFill>
            <w14:solidFill>
              <w14:schemeClr w14:val="tx1"/>
            </w14:solidFill>
          </w14:textFill>
        </w:rPr>
        <w:t>条</w:t>
      </w:r>
      <w:r>
        <w:rPr>
          <w:rFonts w:hint="eastAsia" w:ascii="仿宋" w:hAnsi="仿宋" w:eastAsia="仿宋"/>
          <w:sz w:val="32"/>
          <w:szCs w:val="32"/>
        </w:rPr>
        <w:t xml:space="preserve"> 各级商务、市场监管部门应对试点</w:t>
      </w:r>
      <w:r>
        <w:rPr>
          <w:rFonts w:hint="eastAsia" w:ascii="仿宋" w:hAnsi="仿宋" w:eastAsia="仿宋"/>
          <w:sz w:val="32"/>
          <w:szCs w:val="32"/>
          <w:lang w:eastAsia="zh-CN"/>
        </w:rPr>
        <w:t>验收</w:t>
      </w:r>
      <w:r>
        <w:rPr>
          <w:rFonts w:hint="eastAsia" w:ascii="仿宋" w:hAnsi="仿宋" w:eastAsia="仿宋"/>
          <w:sz w:val="32"/>
          <w:szCs w:val="32"/>
        </w:rPr>
        <w:t>合格单位进行跟踪考核，发现不符合标准、给消费者带来利益损害的行为或发生重大责任事故的单位，</w:t>
      </w:r>
      <w:r>
        <w:rPr>
          <w:rFonts w:hint="eastAsia" w:ascii="仿宋" w:hAnsi="仿宋" w:eastAsia="仿宋"/>
          <w:sz w:val="32"/>
          <w:szCs w:val="32"/>
          <w:lang w:eastAsia="zh-CN"/>
        </w:rPr>
        <w:t>应责令</w:t>
      </w:r>
      <w:r>
        <w:rPr>
          <w:rFonts w:hint="eastAsia" w:ascii="仿宋" w:hAnsi="仿宋" w:eastAsia="仿宋"/>
          <w:sz w:val="32"/>
          <w:szCs w:val="32"/>
        </w:rPr>
        <w:t>限期整改或上报商务部、市场监管总局。</w:t>
      </w:r>
    </w:p>
    <w:bookmarkEnd w:id="19"/>
    <w:p>
      <w:pPr>
        <w:spacing w:line="594" w:lineRule="exact"/>
        <w:ind w:firstLine="640" w:firstLineChars="200"/>
        <w:rPr>
          <w:rFonts w:hint="eastAsia" w:ascii="仿宋" w:hAnsi="仿宋" w:eastAsia="仿宋"/>
          <w:sz w:val="32"/>
          <w:szCs w:val="32"/>
        </w:rPr>
      </w:pPr>
    </w:p>
    <w:p>
      <w:pPr>
        <w:spacing w:line="594" w:lineRule="exact"/>
        <w:ind w:firstLine="640" w:firstLineChars="200"/>
        <w:rPr>
          <w:rFonts w:ascii="仿宋" w:hAnsi="仿宋" w:eastAsia="仿宋"/>
          <w:sz w:val="32"/>
          <w:szCs w:val="32"/>
        </w:rPr>
      </w:pPr>
      <w:r>
        <w:rPr>
          <w:rFonts w:hint="eastAsia" w:ascii="仿宋" w:hAnsi="仿宋" w:eastAsia="仿宋"/>
          <w:sz w:val="32"/>
          <w:szCs w:val="32"/>
        </w:rPr>
        <w:t>附件1：国家级服务业标准化试点（商贸流通专项）申报书</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附件2：国家级服务业标准化试点（商贸流通专项）验收申请表</w:t>
      </w:r>
      <w:r>
        <w:rPr>
          <w:rFonts w:ascii="仿宋" w:hAnsi="仿宋" w:eastAsia="仿宋"/>
          <w:sz w:val="32"/>
          <w:szCs w:val="32"/>
        </w:rPr>
        <w:t xml:space="preserve"> </w:t>
      </w:r>
    </w:p>
    <w:p>
      <w:pPr>
        <w:spacing w:line="594"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附件3：国家级服务业标准化试点（商贸流通专项）</w:t>
      </w:r>
      <w:r>
        <w:rPr>
          <w:rFonts w:hint="eastAsia" w:ascii="仿宋" w:hAnsi="仿宋" w:eastAsia="仿宋"/>
          <w:sz w:val="32"/>
          <w:szCs w:val="32"/>
          <w:lang w:eastAsia="zh-CN"/>
        </w:rPr>
        <w:t>评估计分表（暂定）</w:t>
      </w:r>
    </w:p>
    <w:p>
      <w:pPr>
        <w:spacing w:line="594" w:lineRule="exact"/>
        <w:ind w:firstLine="640" w:firstLineChars="200"/>
        <w:rPr>
          <w:rFonts w:ascii="仿宋" w:hAnsi="仿宋" w:eastAsia="仿宋"/>
          <w:sz w:val="32"/>
          <w:szCs w:val="32"/>
        </w:rPr>
      </w:pPr>
      <w:r>
        <w:rPr>
          <w:rFonts w:hint="eastAsia" w:ascii="仿宋" w:hAnsi="仿宋" w:eastAsia="仿宋"/>
          <w:sz w:val="32"/>
          <w:szCs w:val="32"/>
        </w:rPr>
        <w:t>附件4：国家级服务业标准化试点（商贸流通专项）评估报告</w:t>
      </w:r>
      <w:r>
        <w:rPr>
          <w:rFonts w:ascii="仿宋" w:hAnsi="仿宋" w:eastAsia="仿宋"/>
          <w:sz w:val="32"/>
          <w:szCs w:val="32"/>
        </w:rPr>
        <w:t xml:space="preserve"> </w:t>
      </w: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spacing w:line="594" w:lineRule="exact"/>
        <w:ind w:firstLine="640" w:firstLineChars="200"/>
        <w:rPr>
          <w:rFonts w:ascii="仿宋" w:hAnsi="仿宋" w:eastAsia="仿宋"/>
          <w:sz w:val="32"/>
          <w:szCs w:val="32"/>
        </w:rPr>
      </w:pPr>
    </w:p>
    <w:p>
      <w:pPr>
        <w:pStyle w:val="2"/>
        <w:rPr>
          <w:rFonts w:ascii="黑体" w:hAnsi="黑体" w:eastAsia="黑体" w:cs="Times New Roman"/>
          <w:b w:val="0"/>
          <w:bCs w:val="0"/>
          <w:sz w:val="32"/>
          <w:szCs w:val="32"/>
        </w:rPr>
      </w:pPr>
      <w:bookmarkStart w:id="20" w:name="_Toc87536604"/>
      <w:bookmarkStart w:id="21" w:name="_Toc508730598"/>
      <w:bookmarkStart w:id="22" w:name="_Toc1804397953"/>
      <w:bookmarkStart w:id="23" w:name="_Toc87536353"/>
      <w:bookmarkStart w:id="24" w:name="_Toc1389697762"/>
      <w:bookmarkStart w:id="25" w:name="_Toc398857985"/>
      <w:bookmarkStart w:id="26" w:name="_Toc856231371"/>
      <w:r>
        <w:rPr>
          <w:rFonts w:hint="eastAsia" w:ascii="黑体" w:hAnsi="黑体" w:eastAsia="黑体"/>
          <w:b w:val="0"/>
          <w:bCs w:val="0"/>
          <w:sz w:val="32"/>
          <w:szCs w:val="32"/>
        </w:rPr>
        <w:t>附件1</w:t>
      </w:r>
      <w:bookmarkEnd w:id="20"/>
      <w:bookmarkEnd w:id="21"/>
      <w:bookmarkEnd w:id="22"/>
      <w:bookmarkEnd w:id="23"/>
      <w:bookmarkEnd w:id="24"/>
      <w:bookmarkEnd w:id="25"/>
      <w:bookmarkEnd w:id="26"/>
    </w:p>
    <w:p>
      <w:pPr>
        <w:widowControl/>
        <w:jc w:val="center"/>
        <w:rPr>
          <w:rFonts w:ascii="Times New Roman" w:hAnsi="Times New Roman" w:eastAsia="方正仿宋简体" w:cs="Times New Roman"/>
          <w:b/>
          <w:bCs/>
          <w:sz w:val="44"/>
          <w:szCs w:val="44"/>
        </w:rPr>
      </w:pPr>
    </w:p>
    <w:p>
      <w:pPr>
        <w:widowControl/>
        <w:jc w:val="center"/>
        <w:rPr>
          <w:rFonts w:ascii="Times New Roman" w:hAnsi="Times New Roman" w:eastAsia="方正仿宋简体" w:cs="Times New Roman"/>
          <w:b/>
          <w:bCs/>
          <w:sz w:val="44"/>
          <w:szCs w:val="44"/>
        </w:rPr>
      </w:pPr>
    </w:p>
    <w:p>
      <w:pPr>
        <w:widowControl/>
        <w:jc w:val="center"/>
        <w:rPr>
          <w:rFonts w:ascii="Times New Roman" w:hAnsi="Times New Roman" w:eastAsia="方正仿宋简体" w:cs="Times New Roman"/>
          <w:b/>
          <w:bCs/>
          <w:sz w:val="44"/>
          <w:szCs w:val="44"/>
        </w:rPr>
      </w:pPr>
    </w:p>
    <w:p>
      <w:pPr>
        <w:widowControl/>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国家级服务业标准化试点（商贸流通专项）</w:t>
      </w:r>
    </w:p>
    <w:p>
      <w:pPr>
        <w:widowControl/>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申报书</w:t>
      </w:r>
    </w:p>
    <w:p>
      <w:pPr>
        <w:widowControl/>
        <w:jc w:val="center"/>
        <w:rPr>
          <w:rFonts w:ascii="Times New Roman" w:hAnsi="Times New Roman" w:eastAsia="方正仿宋简体" w:cs="Times New Roman"/>
          <w:sz w:val="32"/>
          <w:szCs w:val="32"/>
        </w:rPr>
      </w:pPr>
    </w:p>
    <w:p>
      <w:pPr>
        <w:widowControl/>
        <w:rPr>
          <w:rFonts w:ascii="Times New Roman" w:hAnsi="Times New Roman" w:eastAsia="方正仿宋简体" w:cs="Times New Roman"/>
          <w:sz w:val="32"/>
          <w:szCs w:val="32"/>
        </w:rPr>
      </w:pPr>
    </w:p>
    <w:p>
      <w:pPr>
        <w:widowControl/>
        <w:rPr>
          <w:rFonts w:ascii="Times New Roman" w:hAnsi="Times New Roman" w:eastAsia="方正仿宋简体" w:cs="Times New Roman"/>
          <w:sz w:val="32"/>
          <w:szCs w:val="32"/>
        </w:rPr>
      </w:pPr>
    </w:p>
    <w:p>
      <w:pPr>
        <w:widowControl/>
        <w:rPr>
          <w:rFonts w:ascii="Times New Roman" w:hAnsi="Times New Roman" w:eastAsia="方正仿宋简体" w:cs="Times New Roman"/>
          <w:sz w:val="32"/>
          <w:szCs w:val="32"/>
        </w:rPr>
      </w:pPr>
    </w:p>
    <w:p>
      <w:pPr>
        <w:widowControl/>
        <w:rPr>
          <w:rFonts w:ascii="Times New Roman" w:hAnsi="Times New Roman" w:eastAsia="方正仿宋简体" w:cs="Times New Roman"/>
          <w:sz w:val="32"/>
          <w:szCs w:val="32"/>
        </w:rPr>
      </w:pPr>
    </w:p>
    <w:p>
      <w:pPr>
        <w:widowControl/>
        <w:rPr>
          <w:rFonts w:ascii="Times New Roman" w:hAnsi="Times New Roman" w:eastAsia="方正仿宋简体" w:cs="Times New Roman"/>
          <w:sz w:val="32"/>
          <w:szCs w:val="32"/>
        </w:rPr>
      </w:pPr>
    </w:p>
    <w:p>
      <w:pPr>
        <w:widowControl/>
        <w:rPr>
          <w:rFonts w:ascii="Times New Roman" w:hAnsi="Times New Roman" w:eastAsia="方正仿宋简体" w:cs="Times New Roman"/>
          <w:sz w:val="32"/>
          <w:szCs w:val="32"/>
        </w:rPr>
      </w:pPr>
    </w:p>
    <w:p>
      <w:pPr>
        <w:widowControl/>
        <w:ind w:firstLine="595" w:firstLineChars="186"/>
        <w:rPr>
          <w:rFonts w:ascii="Times New Roman" w:hAnsi="Times New Roman" w:eastAsia="方正小标宋简体" w:cs="Times New Roman"/>
          <w:sz w:val="32"/>
          <w:szCs w:val="32"/>
          <w:u w:val="single"/>
        </w:rPr>
      </w:pPr>
      <w:r>
        <w:rPr>
          <w:rFonts w:hint="eastAsia" w:ascii="Times New Roman" w:hAnsi="Times New Roman" w:eastAsia="方正小标宋简体" w:cs="方正小标宋简体"/>
          <w:sz w:val="32"/>
          <w:szCs w:val="32"/>
        </w:rPr>
        <w:t>试点申报单位</w:t>
      </w:r>
      <w:r>
        <w:rPr>
          <w:rFonts w:hint="eastAsia" w:ascii="Times New Roman" w:hAnsi="Times New Roman" w:eastAsia="方正小标宋简体" w:cs="方正小标宋简体"/>
          <w:spacing w:val="12"/>
          <w:sz w:val="32"/>
          <w:szCs w:val="32"/>
        </w:rPr>
        <w:t>：</w:t>
      </w:r>
      <w:r>
        <w:rPr>
          <w:rFonts w:hint="eastAsia" w:ascii="方正小标宋简体" w:hAnsi="方正小标宋简体" w:eastAsia="方正小标宋简体" w:cs="方正小标宋简体"/>
          <w:sz w:val="32"/>
          <w:szCs w:val="32"/>
          <w:u w:val="single"/>
        </w:rPr>
        <w:t xml:space="preserve">                              </w:t>
      </w:r>
    </w:p>
    <w:p>
      <w:pPr>
        <w:widowControl/>
        <w:ind w:firstLine="639" w:firstLineChars="186"/>
        <w:rPr>
          <w:rFonts w:ascii="Times New Roman" w:hAnsi="Times New Roman" w:eastAsia="方正小标宋简体" w:cs="Times New Roman"/>
          <w:sz w:val="32"/>
          <w:szCs w:val="32"/>
          <w:u w:val="single"/>
        </w:rPr>
      </w:pPr>
      <w:r>
        <w:rPr>
          <w:rFonts w:hint="eastAsia" w:ascii="Times New Roman" w:hAnsi="Times New Roman" w:eastAsia="方正小标宋简体" w:cs="方正小标宋简体"/>
          <w:spacing w:val="12"/>
          <w:sz w:val="32"/>
          <w:szCs w:val="32"/>
        </w:rPr>
        <w:t>申 报</w:t>
      </w:r>
      <w:r>
        <w:rPr>
          <w:rFonts w:ascii="Times New Roman" w:hAnsi="Times New Roman" w:eastAsia="方正小标宋简体" w:cs="Times New Roman"/>
          <w:spacing w:val="12"/>
          <w:sz w:val="32"/>
          <w:szCs w:val="32"/>
        </w:rPr>
        <w:t xml:space="preserve"> </w:t>
      </w:r>
      <w:r>
        <w:rPr>
          <w:rFonts w:hint="eastAsia" w:ascii="Times New Roman" w:hAnsi="Times New Roman" w:eastAsia="方正小标宋简体" w:cs="方正小标宋简体"/>
          <w:spacing w:val="12"/>
          <w:sz w:val="32"/>
          <w:szCs w:val="32"/>
        </w:rPr>
        <w:t>时</w:t>
      </w:r>
      <w:r>
        <w:rPr>
          <w:rFonts w:ascii="Times New Roman" w:hAnsi="Times New Roman" w:eastAsia="方正小标宋简体" w:cs="Times New Roman"/>
          <w:spacing w:val="12"/>
          <w:sz w:val="32"/>
          <w:szCs w:val="32"/>
        </w:rPr>
        <w:t xml:space="preserve"> </w:t>
      </w:r>
      <w:r>
        <w:rPr>
          <w:rFonts w:hint="eastAsia" w:ascii="Times New Roman" w:hAnsi="Times New Roman" w:eastAsia="方正小标宋简体" w:cs="方正小标宋简体"/>
          <w:spacing w:val="12"/>
          <w:sz w:val="32"/>
          <w:szCs w:val="32"/>
        </w:rPr>
        <w:t>间</w:t>
      </w:r>
      <w:r>
        <w:rPr>
          <w:rFonts w:hint="eastAsia" w:ascii="Times New Roman" w:hAnsi="Times New Roman" w:eastAsia="方正小标宋简体" w:cs="方正小标宋简体"/>
          <w:sz w:val="32"/>
          <w:szCs w:val="32"/>
        </w:rPr>
        <w:t>：</w:t>
      </w:r>
      <w:r>
        <w:rPr>
          <w:rFonts w:hint="eastAsia" w:ascii="Times New Roman" w:hAnsi="Times New Roman" w:eastAsia="方正小标宋简体" w:cs="Times New Roman"/>
          <w:sz w:val="32"/>
          <w:szCs w:val="32"/>
          <w:u w:val="single"/>
        </w:rPr>
        <w:t xml:space="preserve">                              </w:t>
      </w:r>
    </w:p>
    <w:p>
      <w:pPr>
        <w:widowControl/>
        <w:ind w:firstLine="595" w:firstLineChars="186"/>
        <w:rPr>
          <w:rFonts w:ascii="Times New Roman" w:hAnsi="Times New Roman" w:eastAsia="方正小标宋简体" w:cs="Times New Roman"/>
          <w:sz w:val="32"/>
          <w:szCs w:val="32"/>
          <w:u w:val="single"/>
        </w:rPr>
      </w:pPr>
    </w:p>
    <w:p>
      <w:pPr>
        <w:widowControl/>
        <w:ind w:firstLine="595" w:firstLineChars="186"/>
        <w:rPr>
          <w:rFonts w:ascii="Times New Roman" w:hAnsi="Times New Roman" w:eastAsia="方正小标宋简体" w:cs="Times New Roman"/>
          <w:sz w:val="32"/>
          <w:szCs w:val="32"/>
          <w:u w:val="single"/>
        </w:rPr>
      </w:pPr>
    </w:p>
    <w:p>
      <w:pPr>
        <w:widowControl/>
        <w:rPr>
          <w:rFonts w:ascii="Times New Roman" w:hAnsi="Times New Roman" w:eastAsia="方正仿宋简体" w:cs="Times New Roman"/>
          <w:sz w:val="32"/>
          <w:szCs w:val="32"/>
        </w:rPr>
      </w:pPr>
    </w:p>
    <w:p>
      <w:pPr>
        <w:widowControl/>
        <w:jc w:val="center"/>
        <w:rPr>
          <w:rFonts w:ascii="Times New Roman" w:hAnsi="Times New Roman" w:eastAsia="方正仿宋简体" w:cs="Times New Roman"/>
          <w:b/>
          <w:bCs/>
          <w:sz w:val="32"/>
          <w:szCs w:val="32"/>
        </w:rPr>
      </w:pPr>
    </w:p>
    <w:p>
      <w:pPr>
        <w:widowControl/>
        <w:jc w:val="center"/>
        <w:rPr>
          <w:rFonts w:ascii="黑体" w:hAnsi="黑体" w:eastAsia="黑体" w:cs="Times New Roman"/>
          <w:sz w:val="32"/>
          <w:szCs w:val="32"/>
        </w:rPr>
      </w:pPr>
      <w:r>
        <w:rPr>
          <w:rFonts w:hint="eastAsia" w:ascii="黑体" w:hAnsi="黑体" w:eastAsia="黑体" w:cs="方正小标宋简体"/>
          <w:sz w:val="32"/>
          <w:szCs w:val="32"/>
        </w:rPr>
        <w:t>填</w:t>
      </w:r>
      <w:r>
        <w:rPr>
          <w:rFonts w:ascii="黑体" w:hAnsi="黑体" w:eastAsia="黑体" w:cs="Times New Roman"/>
          <w:sz w:val="32"/>
          <w:szCs w:val="32"/>
        </w:rPr>
        <w:t xml:space="preserve"> </w:t>
      </w:r>
      <w:r>
        <w:rPr>
          <w:rFonts w:hint="eastAsia" w:ascii="黑体" w:hAnsi="黑体" w:eastAsia="黑体" w:cs="方正小标宋简体"/>
          <w:sz w:val="32"/>
          <w:szCs w:val="32"/>
        </w:rPr>
        <w:t>写</w:t>
      </w:r>
      <w:r>
        <w:rPr>
          <w:rFonts w:ascii="黑体" w:hAnsi="黑体" w:eastAsia="黑体" w:cs="Times New Roman"/>
          <w:sz w:val="32"/>
          <w:szCs w:val="32"/>
        </w:rPr>
        <w:t xml:space="preserve"> </w:t>
      </w:r>
      <w:r>
        <w:rPr>
          <w:rFonts w:hint="eastAsia" w:ascii="黑体" w:hAnsi="黑体" w:eastAsia="黑体" w:cs="方正小标宋简体"/>
          <w:sz w:val="32"/>
          <w:szCs w:val="32"/>
        </w:rPr>
        <w:t>说</w:t>
      </w:r>
      <w:r>
        <w:rPr>
          <w:rFonts w:ascii="黑体" w:hAnsi="黑体" w:eastAsia="黑体" w:cs="Times New Roman"/>
          <w:sz w:val="32"/>
          <w:szCs w:val="32"/>
        </w:rPr>
        <w:t xml:space="preserve"> </w:t>
      </w:r>
      <w:r>
        <w:rPr>
          <w:rFonts w:hint="eastAsia" w:ascii="黑体" w:hAnsi="黑体" w:eastAsia="黑体" w:cs="方正小标宋简体"/>
          <w:sz w:val="32"/>
          <w:szCs w:val="32"/>
        </w:rPr>
        <w:t>明</w:t>
      </w:r>
    </w:p>
    <w:p>
      <w:pPr>
        <w:widowControl/>
        <w:jc w:val="center"/>
        <w:rPr>
          <w:rFonts w:ascii="Times New Roman" w:hAnsi="Times New Roman" w:eastAsia="仿宋_GB2312" w:cs="Times New Roman"/>
          <w:b/>
          <w:bCs/>
          <w:sz w:val="32"/>
          <w:szCs w:val="32"/>
        </w:rPr>
      </w:pPr>
    </w:p>
    <w:p>
      <w:pPr>
        <w:widowControl/>
        <w:ind w:left="-273" w:leftChars="-130"/>
        <w:rPr>
          <w:rFonts w:ascii="仿宋" w:hAnsi="仿宋" w:eastAsia="仿宋" w:cs="方正仿宋简体"/>
          <w:color w:val="000000"/>
          <w:sz w:val="32"/>
          <w:szCs w:val="32"/>
        </w:rPr>
      </w:pPr>
      <w:r>
        <w:rPr>
          <w:rFonts w:hint="eastAsia" w:ascii="宋体" w:hAnsi="宋体" w:eastAsia="方正仿宋简体" w:cs="方正仿宋简体"/>
          <w:color w:val="000000"/>
          <w:sz w:val="32"/>
          <w:szCs w:val="32"/>
        </w:rPr>
        <w:t xml:space="preserve"> </w:t>
      </w:r>
      <w:r>
        <w:rPr>
          <w:rFonts w:hint="eastAsia" w:ascii="仿宋" w:hAnsi="仿宋" w:eastAsia="仿宋" w:cs="方正仿宋简体"/>
          <w:color w:val="000000"/>
          <w:sz w:val="32"/>
          <w:szCs w:val="32"/>
        </w:rPr>
        <w:t xml:space="preserve">   1.申报城市负责人为市政府分管领导。</w:t>
      </w:r>
    </w:p>
    <w:p>
      <w:pPr>
        <w:widowControl/>
        <w:ind w:left="-273" w:leftChars="-130"/>
        <w:rPr>
          <w:rFonts w:ascii="仿宋" w:hAnsi="仿宋" w:eastAsia="仿宋" w:cs="方正仿宋简体"/>
          <w:color w:val="000000"/>
          <w:sz w:val="32"/>
          <w:szCs w:val="32"/>
        </w:rPr>
      </w:pPr>
      <w:r>
        <w:rPr>
          <w:rFonts w:hint="eastAsia" w:ascii="宋体" w:hAnsi="宋体" w:eastAsia="方正仿宋简体" w:cs="方正仿宋简体"/>
          <w:color w:val="000000"/>
          <w:sz w:val="32"/>
          <w:szCs w:val="32"/>
        </w:rPr>
        <w:t xml:space="preserve">  </w:t>
      </w:r>
      <w:r>
        <w:rPr>
          <w:rFonts w:hint="eastAsia" w:ascii="仿宋" w:hAnsi="仿宋" w:eastAsia="仿宋" w:cs="方正仿宋简体"/>
          <w:color w:val="000000"/>
          <w:sz w:val="32"/>
          <w:szCs w:val="32"/>
        </w:rPr>
        <w:t xml:space="preserve">  2.标准化管理机构名称：城市具体牵头部门或企业内部机构名称。</w:t>
      </w:r>
    </w:p>
    <w:p>
      <w:pPr>
        <w:widowControl/>
        <w:ind w:left="-273" w:leftChars="-130"/>
        <w:rPr>
          <w:rFonts w:ascii="仿宋" w:hAnsi="仿宋" w:eastAsia="仿宋" w:cs="方正仿宋简体"/>
          <w:color w:val="000000"/>
          <w:sz w:val="32"/>
          <w:szCs w:val="32"/>
        </w:rPr>
      </w:pPr>
      <w:r>
        <w:rPr>
          <w:rFonts w:hint="eastAsia" w:ascii="仿宋" w:hAnsi="仿宋" w:eastAsia="仿宋" w:cs="方正仿宋简体"/>
          <w:color w:val="000000"/>
          <w:sz w:val="32"/>
          <w:szCs w:val="32"/>
        </w:rPr>
        <w:t xml:space="preserve">    3.本申请书一式四份，字迹要工整清晰，可以打印，电子版在商务部市场建设司网站下载。</w:t>
      </w:r>
    </w:p>
    <w:p>
      <w:pPr>
        <w:widowControl/>
        <w:ind w:left="-273" w:leftChars="-130"/>
        <w:rPr>
          <w:rFonts w:ascii="仿宋" w:hAnsi="仿宋" w:eastAsia="仿宋" w:cs="方正仿宋简体"/>
          <w:color w:val="000000"/>
          <w:sz w:val="32"/>
          <w:szCs w:val="32"/>
        </w:rPr>
      </w:pPr>
    </w:p>
    <w:p>
      <w:pPr>
        <w:widowControl/>
        <w:ind w:firstLine="648"/>
        <w:rPr>
          <w:rFonts w:ascii="Times New Roman" w:hAnsi="Times New Roman" w:eastAsia="仿宋_GB2312" w:cs="Times New Roman"/>
          <w:color w:val="000000"/>
          <w:sz w:val="30"/>
          <w:szCs w:val="30"/>
        </w:rPr>
      </w:pPr>
    </w:p>
    <w:p>
      <w:pPr>
        <w:widowControl/>
        <w:ind w:firstLine="648"/>
        <w:rPr>
          <w:rFonts w:ascii="Times New Roman" w:hAnsi="Times New Roman" w:eastAsia="仿宋_GB2312" w:cs="Times New Roman"/>
          <w:color w:val="000000"/>
          <w:sz w:val="30"/>
          <w:szCs w:val="30"/>
        </w:rPr>
      </w:pPr>
    </w:p>
    <w:p>
      <w:pPr>
        <w:widowControl/>
        <w:spacing w:line="500" w:lineRule="exact"/>
        <w:rPr>
          <w:rFonts w:ascii="Times New Roman" w:hAnsi="Times New Roman" w:eastAsia="方正仿宋简体" w:cs="Times New Roman"/>
          <w:b/>
          <w:bCs/>
          <w:sz w:val="32"/>
          <w:szCs w:val="32"/>
        </w:rPr>
        <w:sectPr>
          <w:pgSz w:w="11906" w:h="16838"/>
          <w:pgMar w:top="1928" w:right="1531" w:bottom="1871" w:left="1531" w:header="851" w:footer="992" w:gutter="0"/>
          <w:pgNumType w:fmt="decimal" w:start="0"/>
          <w:cols w:space="720" w:num="1"/>
          <w:titlePg/>
          <w:docGrid w:type="lines" w:linePitch="312" w:charSpace="-841"/>
        </w:sectPr>
      </w:pPr>
    </w:p>
    <w:tbl>
      <w:tblPr>
        <w:tblStyle w:val="15"/>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459"/>
        <w:gridCol w:w="1521"/>
        <w:gridCol w:w="1162"/>
        <w:gridCol w:w="1200"/>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69" w:type="dxa"/>
            <w:gridSpan w:val="6"/>
            <w:vAlign w:val="center"/>
          </w:tcPr>
          <w:p>
            <w:pPr>
              <w:widowControl/>
              <w:spacing w:line="400" w:lineRule="exact"/>
              <w:rPr>
                <w:rFonts w:ascii="仿宋" w:hAnsi="仿宋" w:eastAsia="仿宋" w:cs="Times New Roman"/>
                <w:b/>
                <w:bCs/>
                <w:sz w:val="28"/>
                <w:szCs w:val="28"/>
              </w:rPr>
            </w:pPr>
            <w:r>
              <w:rPr>
                <w:rFonts w:hint="eastAsia" w:ascii="仿宋" w:hAnsi="仿宋" w:eastAsia="仿宋"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8" w:type="dxa"/>
            <w:vMerge w:val="restart"/>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申报单位</w:t>
            </w:r>
          </w:p>
          <w:p>
            <w:pPr>
              <w:widowControl/>
              <w:spacing w:line="400" w:lineRule="exact"/>
              <w:jc w:val="center"/>
              <w:rPr>
                <w:rFonts w:ascii="仿宋" w:hAnsi="仿宋" w:eastAsia="仿宋" w:cs="方正小标宋简体"/>
                <w:sz w:val="24"/>
                <w:szCs w:val="24"/>
              </w:rPr>
            </w:pPr>
          </w:p>
        </w:tc>
        <w:tc>
          <w:tcPr>
            <w:tcW w:w="1459"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单位名称</w:t>
            </w:r>
          </w:p>
        </w:tc>
        <w:tc>
          <w:tcPr>
            <w:tcW w:w="2683" w:type="dxa"/>
            <w:gridSpan w:val="2"/>
            <w:vAlign w:val="center"/>
          </w:tcPr>
          <w:p>
            <w:pPr>
              <w:widowControl/>
              <w:spacing w:line="400" w:lineRule="exact"/>
              <w:rPr>
                <w:rFonts w:ascii="仿宋" w:hAnsi="仿宋" w:eastAsia="仿宋" w:cs="黑体"/>
                <w:sz w:val="32"/>
                <w:szCs w:val="32"/>
              </w:rPr>
            </w:pPr>
          </w:p>
        </w:tc>
        <w:tc>
          <w:tcPr>
            <w:tcW w:w="1200"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统一社会信用代码</w:t>
            </w:r>
          </w:p>
        </w:tc>
        <w:tc>
          <w:tcPr>
            <w:tcW w:w="2299" w:type="dxa"/>
            <w:vAlign w:val="center"/>
          </w:tcPr>
          <w:p>
            <w:pPr>
              <w:widowControl/>
              <w:spacing w:line="400" w:lineRule="exact"/>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8" w:type="dxa"/>
            <w:vMerge w:val="continue"/>
            <w:vAlign w:val="center"/>
          </w:tcPr>
          <w:p>
            <w:pPr>
              <w:widowControl/>
              <w:spacing w:line="400" w:lineRule="exact"/>
              <w:jc w:val="center"/>
              <w:rPr>
                <w:rFonts w:ascii="仿宋" w:hAnsi="仿宋" w:eastAsia="仿宋" w:cs="方正小标宋简体"/>
                <w:sz w:val="24"/>
                <w:szCs w:val="24"/>
              </w:rPr>
            </w:pPr>
          </w:p>
        </w:tc>
        <w:tc>
          <w:tcPr>
            <w:tcW w:w="1459"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法定代表人</w:t>
            </w:r>
          </w:p>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（负责人）</w:t>
            </w:r>
          </w:p>
        </w:tc>
        <w:tc>
          <w:tcPr>
            <w:tcW w:w="2683" w:type="dxa"/>
            <w:gridSpan w:val="2"/>
            <w:vAlign w:val="center"/>
          </w:tcPr>
          <w:p>
            <w:pPr>
              <w:widowControl/>
              <w:spacing w:line="400" w:lineRule="exact"/>
              <w:rPr>
                <w:rFonts w:ascii="仿宋" w:hAnsi="仿宋" w:eastAsia="仿宋" w:cs="黑体"/>
                <w:sz w:val="32"/>
                <w:szCs w:val="32"/>
              </w:rPr>
            </w:pPr>
          </w:p>
        </w:tc>
        <w:tc>
          <w:tcPr>
            <w:tcW w:w="1200"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联系电话</w:t>
            </w:r>
          </w:p>
        </w:tc>
        <w:tc>
          <w:tcPr>
            <w:tcW w:w="2299" w:type="dxa"/>
            <w:vAlign w:val="center"/>
          </w:tcPr>
          <w:p>
            <w:pPr>
              <w:widowControl/>
              <w:spacing w:line="400" w:lineRule="exact"/>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8" w:type="dxa"/>
            <w:vMerge w:val="continue"/>
            <w:vAlign w:val="center"/>
          </w:tcPr>
          <w:p>
            <w:pPr>
              <w:widowControl/>
              <w:spacing w:line="400" w:lineRule="exact"/>
              <w:jc w:val="center"/>
              <w:rPr>
                <w:rFonts w:ascii="仿宋" w:hAnsi="仿宋" w:eastAsia="仿宋" w:cs="方正小标宋简体"/>
                <w:sz w:val="24"/>
                <w:szCs w:val="24"/>
              </w:rPr>
            </w:pPr>
          </w:p>
        </w:tc>
        <w:tc>
          <w:tcPr>
            <w:tcW w:w="1459"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单位地址</w:t>
            </w:r>
          </w:p>
        </w:tc>
        <w:tc>
          <w:tcPr>
            <w:tcW w:w="6182" w:type="dxa"/>
            <w:gridSpan w:val="4"/>
            <w:vAlign w:val="center"/>
          </w:tcPr>
          <w:p>
            <w:pPr>
              <w:widowControl/>
              <w:spacing w:line="400" w:lineRule="exact"/>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28" w:type="dxa"/>
            <w:vAlign w:val="center"/>
          </w:tcPr>
          <w:p>
            <w:pPr>
              <w:widowControl/>
              <w:spacing w:line="400" w:lineRule="exact"/>
              <w:jc w:val="center"/>
              <w:rPr>
                <w:rFonts w:ascii="仿宋" w:hAnsi="仿宋" w:eastAsia="仿宋" w:cs="Times New Roman"/>
                <w:sz w:val="24"/>
                <w:szCs w:val="24"/>
              </w:rPr>
            </w:pPr>
            <w:r>
              <w:rPr>
                <w:rFonts w:hint="eastAsia" w:ascii="仿宋" w:hAnsi="仿宋" w:eastAsia="仿宋" w:cs="方正小标宋简体"/>
                <w:sz w:val="24"/>
                <w:szCs w:val="24"/>
              </w:rPr>
              <w:t>标准化管理机构名称</w:t>
            </w:r>
          </w:p>
        </w:tc>
        <w:tc>
          <w:tcPr>
            <w:tcW w:w="7641" w:type="dxa"/>
            <w:gridSpan w:val="5"/>
            <w:vAlign w:val="center"/>
          </w:tcPr>
          <w:p>
            <w:pPr>
              <w:widowControl/>
              <w:spacing w:line="400" w:lineRule="exac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28"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标准化负责人</w:t>
            </w:r>
          </w:p>
        </w:tc>
        <w:tc>
          <w:tcPr>
            <w:tcW w:w="2980" w:type="dxa"/>
            <w:gridSpan w:val="2"/>
            <w:vAlign w:val="center"/>
          </w:tcPr>
          <w:p>
            <w:pPr>
              <w:widowControl/>
              <w:spacing w:line="400" w:lineRule="exact"/>
              <w:rPr>
                <w:rFonts w:ascii="仿宋" w:hAnsi="仿宋" w:eastAsia="仿宋" w:cs="Times New Roman"/>
                <w:sz w:val="24"/>
                <w:szCs w:val="24"/>
              </w:rPr>
            </w:pPr>
          </w:p>
        </w:tc>
        <w:tc>
          <w:tcPr>
            <w:tcW w:w="2362" w:type="dxa"/>
            <w:gridSpan w:val="2"/>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联系电话</w:t>
            </w:r>
          </w:p>
        </w:tc>
        <w:tc>
          <w:tcPr>
            <w:tcW w:w="2299" w:type="dxa"/>
            <w:vAlign w:val="center"/>
          </w:tcPr>
          <w:p>
            <w:pPr>
              <w:widowControl/>
              <w:autoSpaceDN w:val="0"/>
              <w:spacing w:line="400" w:lineRule="exac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28" w:type="dxa"/>
            <w:vAlign w:val="center"/>
          </w:tcPr>
          <w:p>
            <w:pPr>
              <w:widowControl/>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试点方向</w:t>
            </w:r>
          </w:p>
        </w:tc>
        <w:tc>
          <w:tcPr>
            <w:tcW w:w="2980" w:type="dxa"/>
            <w:gridSpan w:val="2"/>
            <w:vAlign w:val="center"/>
          </w:tcPr>
          <w:p>
            <w:pPr>
              <w:widowControl/>
              <w:autoSpaceDN w:val="0"/>
              <w:spacing w:line="400" w:lineRule="exact"/>
              <w:rPr>
                <w:rFonts w:ascii="仿宋" w:hAnsi="仿宋" w:eastAsia="仿宋" w:cs="方正小标宋简体"/>
                <w:sz w:val="24"/>
                <w:szCs w:val="24"/>
              </w:rPr>
            </w:pPr>
            <w:r>
              <w:rPr>
                <w:rFonts w:hint="eastAsia" w:ascii="仿宋" w:hAnsi="仿宋" w:eastAsia="仿宋" w:cs="方正小标宋简体"/>
                <w:sz w:val="24"/>
                <w:szCs w:val="24"/>
              </w:rPr>
              <w:t>1、商贸流通提质增效</w:t>
            </w:r>
            <w:r>
              <w:rPr>
                <w:rFonts w:hint="eastAsia" w:ascii="仿宋" w:hAnsi="仿宋" w:eastAsia="仿宋" w:cs="方正小标宋简体"/>
                <w:sz w:val="24"/>
                <w:szCs w:val="24"/>
              </w:rPr>
              <w:sym w:font="Wingdings 2" w:char="00A3"/>
            </w:r>
          </w:p>
          <w:p>
            <w:pPr>
              <w:widowControl/>
              <w:autoSpaceDN w:val="0"/>
              <w:spacing w:line="400" w:lineRule="exact"/>
              <w:rPr>
                <w:rFonts w:ascii="仿宋" w:hAnsi="仿宋" w:eastAsia="仿宋" w:cs="Times New Roman"/>
                <w:sz w:val="24"/>
                <w:szCs w:val="24"/>
              </w:rPr>
            </w:pPr>
            <w:r>
              <w:rPr>
                <w:rFonts w:hint="eastAsia" w:ascii="仿宋" w:hAnsi="仿宋" w:eastAsia="仿宋" w:cs="方正小标宋简体"/>
                <w:sz w:val="24"/>
                <w:szCs w:val="24"/>
              </w:rPr>
              <w:t>2、内外贸一体化</w:t>
            </w:r>
            <w:r>
              <w:rPr>
                <w:rFonts w:hint="eastAsia" w:ascii="仿宋" w:hAnsi="仿宋" w:eastAsia="仿宋" w:cs="方正小标宋简体"/>
                <w:sz w:val="24"/>
                <w:szCs w:val="24"/>
              </w:rPr>
              <w:sym w:font="Wingdings 2" w:char="00A3"/>
            </w:r>
          </w:p>
        </w:tc>
        <w:tc>
          <w:tcPr>
            <w:tcW w:w="2362" w:type="dxa"/>
            <w:gridSpan w:val="2"/>
            <w:vAlign w:val="center"/>
          </w:tcPr>
          <w:p>
            <w:pPr>
              <w:widowControl/>
              <w:autoSpaceDN w:val="0"/>
              <w:spacing w:line="400" w:lineRule="exact"/>
              <w:jc w:val="center"/>
              <w:rPr>
                <w:rFonts w:ascii="仿宋" w:hAnsi="仿宋" w:eastAsia="仿宋" w:cs="方正小标宋简体"/>
                <w:sz w:val="24"/>
                <w:szCs w:val="24"/>
              </w:rPr>
            </w:pPr>
            <w:r>
              <w:rPr>
                <w:rFonts w:hint="eastAsia" w:ascii="仿宋" w:hAnsi="仿宋" w:eastAsia="仿宋" w:cs="方正小标宋简体"/>
                <w:sz w:val="24"/>
                <w:szCs w:val="24"/>
              </w:rPr>
              <w:t>所属行业或领域</w:t>
            </w:r>
          </w:p>
        </w:tc>
        <w:tc>
          <w:tcPr>
            <w:tcW w:w="2299" w:type="dxa"/>
            <w:vAlign w:val="center"/>
          </w:tcPr>
          <w:p>
            <w:pPr>
              <w:widowControl/>
              <w:autoSpaceDN w:val="0"/>
              <w:spacing w:line="400" w:lineRule="exact"/>
              <w:rPr>
                <w:rFonts w:ascii="仿宋" w:hAnsi="仿宋" w:eastAsia="仿宋" w:cs="方正小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6"/>
            <w:vAlign w:val="center"/>
          </w:tcPr>
          <w:p>
            <w:pPr>
              <w:widowControl/>
              <w:rPr>
                <w:rFonts w:ascii="仿宋" w:hAnsi="仿宋" w:eastAsia="仿宋" w:cs="黑体"/>
                <w:b/>
                <w:bCs/>
                <w:sz w:val="28"/>
                <w:szCs w:val="28"/>
              </w:rPr>
            </w:pPr>
            <w:r>
              <w:rPr>
                <w:rFonts w:hint="eastAsia" w:ascii="仿宋" w:hAnsi="仿宋" w:eastAsia="仿宋" w:cs="黑体"/>
                <w:b/>
                <w:bCs/>
                <w:sz w:val="28"/>
                <w:szCs w:val="28"/>
              </w:rPr>
              <w:t>二、工作基础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6"/>
            <w:vAlign w:val="center"/>
          </w:tcPr>
          <w:p>
            <w:pPr>
              <w:widowControl/>
              <w:ind w:firstLine="560" w:firstLineChars="200"/>
              <w:rPr>
                <w:rFonts w:ascii="仿宋" w:hAnsi="仿宋" w:eastAsia="仿宋" w:cs="Times New Roman"/>
                <w:sz w:val="28"/>
                <w:szCs w:val="28"/>
              </w:rPr>
            </w:pPr>
            <w:r>
              <w:rPr>
                <w:rFonts w:hint="eastAsia" w:ascii="仿宋" w:hAnsi="仿宋" w:eastAsia="仿宋" w:cs="Times New Roman"/>
                <w:sz w:val="28"/>
                <w:szCs w:val="28"/>
              </w:rPr>
              <w:t>城市：经济社会发展基本情况，商贸流通产业发展情况，现有标准化组织领导体制机制，已出台的标准化政策措施，城市商贸流通标准体系建设情况，已发布的地方标准和参与制定国际标准、国家标准、行业标准情况，商务领域标准应用实施情况及标准化创新做法等。</w:t>
            </w: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r>
              <w:rPr>
                <w:rFonts w:hint="eastAsia" w:ascii="仿宋" w:hAnsi="仿宋" w:eastAsia="仿宋" w:cs="Times New Roman"/>
                <w:sz w:val="28"/>
                <w:szCs w:val="28"/>
              </w:rPr>
              <w:t>企业：企业简介、经营现状、在所属行业的代表性等基本情况，现有标准化工作机制，企业标准体系建设情况，从事标准化工作人员情况，已发布的企业标准和参与制定国际标准、国家标准、行业标准、地方标准、团体标准情况，商务领域标准应用实施情况及标准化创新做法等。</w:t>
            </w:r>
          </w:p>
          <w:p>
            <w:pPr>
              <w:widowControl/>
              <w:ind w:firstLine="560" w:firstLineChars="20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6"/>
            <w:vAlign w:val="center"/>
          </w:tcPr>
          <w:p>
            <w:pPr>
              <w:widowControl/>
              <w:rPr>
                <w:rFonts w:ascii="仿宋" w:hAnsi="仿宋" w:eastAsia="仿宋" w:cs="黑体"/>
                <w:b/>
                <w:bCs/>
                <w:sz w:val="28"/>
                <w:szCs w:val="28"/>
              </w:rPr>
            </w:pPr>
            <w:r>
              <w:rPr>
                <w:rFonts w:hint="eastAsia" w:ascii="仿宋" w:hAnsi="仿宋" w:eastAsia="仿宋" w:cs="黑体"/>
                <w:b/>
                <w:bCs/>
                <w:sz w:val="28"/>
                <w:szCs w:val="28"/>
              </w:rPr>
              <w:t>三、试点建设工作方案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6"/>
            <w:vAlign w:val="center"/>
          </w:tcPr>
          <w:p>
            <w:pPr>
              <w:widowControl/>
              <w:ind w:firstLine="560" w:firstLineChars="200"/>
              <w:rPr>
                <w:rFonts w:ascii="仿宋" w:hAnsi="仿宋" w:eastAsia="仿宋" w:cs="Times New Roman"/>
                <w:sz w:val="28"/>
                <w:szCs w:val="28"/>
              </w:rPr>
            </w:pPr>
            <w:r>
              <w:rPr>
                <w:rFonts w:hint="eastAsia" w:ascii="仿宋" w:hAnsi="仿宋" w:eastAsia="仿宋" w:cs="Times New Roman"/>
                <w:sz w:val="28"/>
                <w:szCs w:val="28"/>
              </w:rPr>
              <w:t>试点建设总体思路和工作目标，试点任务、工作计划和进度安排，预期社会经济效益，保障措施及长效机制等（可另附页）。</w:t>
            </w: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ind w:firstLine="560" w:firstLineChars="200"/>
              <w:rPr>
                <w:rFonts w:ascii="仿宋" w:hAnsi="仿宋" w:eastAsia="仿宋" w:cs="Times New Roman"/>
                <w:sz w:val="28"/>
                <w:szCs w:val="28"/>
              </w:rPr>
            </w:pPr>
          </w:p>
          <w:p>
            <w:pPr>
              <w:widowControl/>
              <w:rPr>
                <w:rFonts w:ascii="仿宋" w:hAnsi="仿宋" w:eastAsia="仿宋" w:cs="Times New Roman"/>
                <w:sz w:val="28"/>
                <w:szCs w:val="28"/>
              </w:rPr>
            </w:pPr>
          </w:p>
          <w:p>
            <w:pPr>
              <w:widowControl/>
              <w:spacing w:line="400" w:lineRule="exact"/>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69" w:type="dxa"/>
            <w:gridSpan w:val="6"/>
            <w:vAlign w:val="center"/>
          </w:tcPr>
          <w:p>
            <w:pPr>
              <w:widowControl/>
              <w:spacing w:line="400" w:lineRule="exact"/>
              <w:rPr>
                <w:rFonts w:ascii="仿宋" w:hAnsi="仿宋" w:eastAsia="仿宋" w:cs="Times New Roman"/>
                <w:b/>
                <w:bCs/>
                <w:sz w:val="24"/>
                <w:szCs w:val="24"/>
              </w:rPr>
            </w:pPr>
            <w:r>
              <w:rPr>
                <w:rFonts w:hint="eastAsia" w:ascii="仿宋" w:hAnsi="仿宋" w:eastAsia="仿宋" w:cs="黑体"/>
                <w:b/>
                <w:bCs/>
                <w:sz w:val="28"/>
                <w:szCs w:val="28"/>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9269" w:type="dxa"/>
            <w:gridSpan w:val="6"/>
          </w:tcPr>
          <w:p>
            <w:pPr>
              <w:widowControl/>
              <w:spacing w:line="400" w:lineRule="exact"/>
              <w:rPr>
                <w:rFonts w:ascii="仿宋" w:hAnsi="仿宋" w:eastAsia="仿宋" w:cs="方正小标宋简体"/>
                <w:sz w:val="24"/>
                <w:szCs w:val="24"/>
              </w:rPr>
            </w:pPr>
          </w:p>
          <w:p>
            <w:pPr>
              <w:widowControl/>
              <w:spacing w:line="400" w:lineRule="exact"/>
              <w:rPr>
                <w:rFonts w:ascii="仿宋" w:hAnsi="仿宋" w:eastAsia="仿宋" w:cs="Times New Roman"/>
                <w:sz w:val="24"/>
                <w:szCs w:val="24"/>
              </w:rPr>
            </w:pPr>
            <w:r>
              <w:rPr>
                <w:rFonts w:hint="eastAsia" w:ascii="仿宋" w:hAnsi="仿宋" w:eastAsia="仿宋" w:cs="方正小标宋简体"/>
                <w:sz w:val="24"/>
                <w:szCs w:val="24"/>
              </w:rPr>
              <w:t>申报单位（盖章）：</w:t>
            </w:r>
            <w:r>
              <w:rPr>
                <w:rFonts w:ascii="仿宋" w:hAnsi="仿宋" w:eastAsia="仿宋" w:cs="Times New Roman"/>
                <w:sz w:val="24"/>
                <w:szCs w:val="24"/>
              </w:rPr>
              <w:t xml:space="preserve">  </w:t>
            </w:r>
          </w:p>
          <w:p>
            <w:pPr>
              <w:widowControl/>
              <w:spacing w:line="400" w:lineRule="exact"/>
              <w:ind w:firstLine="2640" w:firstLineChars="1100"/>
              <w:rPr>
                <w:rFonts w:ascii="仿宋" w:hAnsi="仿宋" w:eastAsia="仿宋" w:cs="Times New Roman"/>
                <w:sz w:val="24"/>
                <w:szCs w:val="24"/>
              </w:rPr>
            </w:pPr>
          </w:p>
          <w:p>
            <w:pPr>
              <w:widowControl/>
              <w:spacing w:line="400" w:lineRule="exact"/>
              <w:ind w:firstLine="2640" w:firstLineChars="1100"/>
              <w:rPr>
                <w:rFonts w:ascii="仿宋" w:hAnsi="仿宋" w:eastAsia="仿宋" w:cs="方正小标宋简体"/>
                <w:sz w:val="24"/>
                <w:szCs w:val="24"/>
              </w:rPr>
            </w:pPr>
          </w:p>
          <w:p>
            <w:pPr>
              <w:widowControl/>
              <w:spacing w:line="400" w:lineRule="exact"/>
              <w:ind w:firstLine="2640" w:firstLineChars="1100"/>
              <w:rPr>
                <w:rFonts w:ascii="仿宋" w:hAnsi="仿宋" w:eastAsia="仿宋" w:cs="方正小标宋简体"/>
                <w:sz w:val="24"/>
                <w:szCs w:val="24"/>
              </w:rPr>
            </w:pPr>
          </w:p>
          <w:p>
            <w:pPr>
              <w:widowControl/>
              <w:spacing w:line="400" w:lineRule="exact"/>
              <w:ind w:firstLine="2640" w:firstLineChars="1100"/>
              <w:rPr>
                <w:rFonts w:ascii="仿宋" w:hAnsi="仿宋" w:eastAsia="仿宋" w:cs="方正小标宋简体"/>
                <w:sz w:val="24"/>
                <w:szCs w:val="24"/>
              </w:rPr>
            </w:pPr>
          </w:p>
          <w:p>
            <w:pPr>
              <w:widowControl/>
              <w:spacing w:line="400" w:lineRule="exact"/>
              <w:ind w:firstLine="2640" w:firstLineChars="1100"/>
              <w:rPr>
                <w:rFonts w:ascii="仿宋" w:hAnsi="仿宋" w:eastAsia="仿宋" w:cs="Times New Roman"/>
                <w:sz w:val="24"/>
                <w:szCs w:val="24"/>
              </w:rPr>
            </w:pPr>
            <w:r>
              <w:rPr>
                <w:rFonts w:hint="eastAsia" w:ascii="仿宋" w:hAnsi="仿宋" w:eastAsia="仿宋" w:cs="方正小标宋简体"/>
                <w:sz w:val="24"/>
                <w:szCs w:val="24"/>
              </w:rPr>
              <w:t>负责人（签名）</w:t>
            </w:r>
          </w:p>
          <w:p>
            <w:pPr>
              <w:widowControl/>
              <w:spacing w:line="400" w:lineRule="exact"/>
              <w:ind w:firstLine="3600" w:firstLineChars="1500"/>
              <w:rPr>
                <w:rFonts w:ascii="仿宋" w:hAnsi="仿宋" w:eastAsia="仿宋" w:cs="Times New Roman"/>
                <w:sz w:val="24"/>
                <w:szCs w:val="24"/>
              </w:rPr>
            </w:pPr>
            <w:r>
              <w:rPr>
                <w:rFonts w:ascii="仿宋" w:hAnsi="仿宋" w:eastAsia="仿宋" w:cs="Times New Roman"/>
                <w:sz w:val="24"/>
                <w:szCs w:val="24"/>
              </w:rPr>
              <w:t xml:space="preserve">                      </w:t>
            </w:r>
            <w:r>
              <w:rPr>
                <w:rFonts w:hint="eastAsia" w:ascii="仿宋" w:hAnsi="仿宋" w:eastAsia="仿宋" w:cs="方正小标宋简体"/>
                <w:sz w:val="24"/>
                <w:szCs w:val="24"/>
              </w:rPr>
              <w:t>年</w:t>
            </w:r>
            <w:r>
              <w:rPr>
                <w:rFonts w:ascii="仿宋" w:hAnsi="仿宋" w:eastAsia="仿宋" w:cs="Times New Roman"/>
                <w:sz w:val="24"/>
                <w:szCs w:val="24"/>
              </w:rPr>
              <w:t xml:space="preserve">    </w:t>
            </w:r>
            <w:r>
              <w:rPr>
                <w:rFonts w:hint="eastAsia" w:ascii="仿宋" w:hAnsi="仿宋" w:eastAsia="仿宋" w:cs="方正小标宋简体"/>
                <w:sz w:val="24"/>
                <w:szCs w:val="24"/>
              </w:rPr>
              <w:t>月</w:t>
            </w:r>
            <w:r>
              <w:rPr>
                <w:rFonts w:ascii="仿宋" w:hAnsi="仿宋" w:eastAsia="仿宋" w:cs="Times New Roman"/>
                <w:sz w:val="24"/>
                <w:szCs w:val="24"/>
              </w:rPr>
              <w:t xml:space="preserve">    </w:t>
            </w:r>
            <w:r>
              <w:rPr>
                <w:rFonts w:hint="eastAsia" w:ascii="仿宋" w:hAnsi="仿宋" w:eastAsia="仿宋" w:cs="方正小标宋简体"/>
                <w:sz w:val="24"/>
                <w:szCs w:val="24"/>
              </w:rPr>
              <w:t>日</w:t>
            </w:r>
          </w:p>
        </w:tc>
      </w:tr>
    </w:tbl>
    <w:p>
      <w:pPr>
        <w:pStyle w:val="2"/>
        <w:rPr>
          <w:rFonts w:ascii="黑体" w:hAnsi="黑体" w:eastAsia="黑体"/>
          <w:b w:val="0"/>
          <w:bCs w:val="0"/>
          <w:sz w:val="32"/>
          <w:szCs w:val="32"/>
        </w:rPr>
      </w:pPr>
      <w:bookmarkStart w:id="27" w:name="_Toc87536354"/>
      <w:bookmarkStart w:id="28" w:name="_Toc1314059598"/>
      <w:bookmarkStart w:id="29" w:name="_Toc474445924"/>
      <w:bookmarkStart w:id="30" w:name="_Toc628540513"/>
      <w:bookmarkStart w:id="31" w:name="_Toc87536605"/>
      <w:bookmarkStart w:id="32" w:name="_Toc301770600"/>
      <w:bookmarkStart w:id="33" w:name="_Toc2117249796"/>
      <w:r>
        <w:rPr>
          <w:rFonts w:hint="eastAsia" w:ascii="黑体" w:hAnsi="黑体" w:eastAsia="黑体"/>
          <w:b w:val="0"/>
          <w:bCs w:val="0"/>
          <w:sz w:val="32"/>
          <w:szCs w:val="32"/>
        </w:rPr>
        <w:t>附件</w:t>
      </w:r>
      <w:r>
        <w:rPr>
          <w:rFonts w:hint="eastAsia" w:ascii="黑体" w:hAnsi="黑体" w:eastAsia="黑体"/>
          <w:b w:val="0"/>
          <w:bCs w:val="0"/>
          <w:sz w:val="32"/>
          <w:szCs w:val="32"/>
          <w:lang w:val="en-US" w:eastAsia="zh-CN"/>
        </w:rPr>
        <w:t>2</w:t>
      </w:r>
      <w:r>
        <w:rPr>
          <w:rFonts w:hint="eastAsia" w:ascii="黑体" w:hAnsi="黑体" w:eastAsia="黑体"/>
          <w:b w:val="0"/>
          <w:bCs w:val="0"/>
          <w:sz w:val="32"/>
          <w:szCs w:val="32"/>
        </w:rPr>
        <w:t>：</w:t>
      </w:r>
      <w:bookmarkEnd w:id="27"/>
      <w:bookmarkEnd w:id="28"/>
      <w:bookmarkEnd w:id="29"/>
      <w:bookmarkEnd w:id="30"/>
      <w:bookmarkEnd w:id="31"/>
      <w:bookmarkEnd w:id="32"/>
      <w:bookmarkEnd w:id="33"/>
    </w:p>
    <w:p>
      <w:pPr>
        <w:spacing w:line="580" w:lineRule="exact"/>
        <w:jc w:val="center"/>
        <w:rPr>
          <w:rFonts w:ascii="方正小标宋简体" w:hAnsi="宋体" w:eastAsia="方正小标宋简体" w:cs="方正小标宋简体"/>
          <w:sz w:val="44"/>
          <w:szCs w:val="44"/>
        </w:rPr>
      </w:pPr>
    </w:p>
    <w:p>
      <w:pPr>
        <w:spacing w:line="580" w:lineRule="exact"/>
        <w:jc w:val="center"/>
        <w:rPr>
          <w:rFonts w:ascii="方正小标宋简体" w:hAnsi="宋体" w:eastAsia="方正小标宋简体" w:cs="方正小标宋简体"/>
          <w:sz w:val="44"/>
          <w:szCs w:val="44"/>
        </w:rPr>
      </w:pPr>
    </w:p>
    <w:p>
      <w:pPr>
        <w:spacing w:line="58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国家级服务业标准化试点（商贸流通专项）验收申请表</w:t>
      </w:r>
    </w:p>
    <w:p>
      <w:pPr>
        <w:jc w:val="center"/>
        <w:rPr>
          <w:rFonts w:ascii="仿宋_GB2312" w:hAnsi="宋体" w:eastAsia="仿宋_GB2312"/>
          <w:sz w:val="84"/>
          <w:szCs w:val="84"/>
        </w:rPr>
      </w:pPr>
    </w:p>
    <w:p>
      <w:pPr>
        <w:jc w:val="center"/>
        <w:rPr>
          <w:rFonts w:ascii="仿宋_GB2312" w:hAnsi="宋体" w:eastAsia="仿宋_GB2312"/>
          <w:sz w:val="84"/>
          <w:szCs w:val="84"/>
        </w:rPr>
      </w:pPr>
    </w:p>
    <w:p>
      <w:pPr>
        <w:jc w:val="center"/>
        <w:rPr>
          <w:rFonts w:ascii="仿宋_GB2312" w:hAnsi="宋体" w:eastAsia="仿宋_GB2312"/>
          <w:sz w:val="84"/>
          <w:szCs w:val="84"/>
        </w:rPr>
      </w:pPr>
    </w:p>
    <w:p>
      <w:pPr>
        <w:jc w:val="center"/>
        <w:rPr>
          <w:rFonts w:ascii="仿宋_GB2312" w:hAnsi="宋体" w:eastAsia="仿宋_GB2312"/>
          <w:sz w:val="44"/>
          <w:szCs w:val="44"/>
        </w:rPr>
      </w:pPr>
    </w:p>
    <w:p>
      <w:pPr>
        <w:jc w:val="center"/>
        <w:rPr>
          <w:rFonts w:ascii="仿宋_GB2312" w:hAnsi="宋体" w:eastAsia="仿宋_GB2312"/>
          <w:sz w:val="44"/>
          <w:szCs w:val="44"/>
        </w:rPr>
      </w:pPr>
    </w:p>
    <w:p>
      <w:pPr>
        <w:ind w:firstLine="960" w:firstLineChars="300"/>
        <w:rPr>
          <w:rFonts w:ascii="黑体" w:hAnsi="黑体" w:eastAsia="黑体"/>
          <w:sz w:val="32"/>
          <w:u w:val="single"/>
        </w:rPr>
      </w:pPr>
      <w:r>
        <w:rPr>
          <w:rFonts w:hint="eastAsia" w:ascii="黑体" w:hAnsi="黑体" w:eastAsia="黑体"/>
          <w:bCs/>
          <w:sz w:val="32"/>
        </w:rPr>
        <w:t>申 请 单 位</w:t>
      </w:r>
      <w:r>
        <w:rPr>
          <w:rFonts w:ascii="黑体" w:hAnsi="黑体" w:eastAsia="黑体"/>
          <w:sz w:val="32"/>
          <w:u w:val="single"/>
        </w:rPr>
        <w:t xml:space="preserve">                   </w:t>
      </w:r>
      <w:r>
        <w:rPr>
          <w:rFonts w:hint="eastAsia" w:ascii="黑体" w:hAnsi="黑体" w:eastAsia="黑体"/>
          <w:sz w:val="32"/>
          <w:u w:val="single"/>
        </w:rPr>
        <w:t xml:space="preserve"> </w:t>
      </w:r>
      <w:r>
        <w:rPr>
          <w:rFonts w:ascii="黑体" w:hAnsi="黑体" w:eastAsia="黑体"/>
          <w:sz w:val="32"/>
          <w:u w:val="single"/>
        </w:rPr>
        <w:t xml:space="preserve">            </w:t>
      </w:r>
    </w:p>
    <w:p>
      <w:pPr>
        <w:ind w:firstLine="960" w:firstLineChars="300"/>
        <w:rPr>
          <w:rFonts w:ascii="黑体" w:hAnsi="黑体" w:eastAsia="黑体"/>
          <w:bCs/>
          <w:sz w:val="32"/>
        </w:rPr>
      </w:pPr>
      <w:r>
        <w:rPr>
          <w:rFonts w:hint="eastAsia" w:ascii="黑体" w:hAnsi="黑体" w:eastAsia="黑体"/>
          <w:bCs/>
          <w:sz w:val="32"/>
        </w:rPr>
        <w:t>申 请 日 期</w:t>
      </w:r>
      <w:r>
        <w:rPr>
          <w:rFonts w:ascii="黑体" w:hAnsi="黑体" w:eastAsia="黑体"/>
          <w:sz w:val="32"/>
          <w:u w:val="single"/>
        </w:rPr>
        <w:t xml:space="preserve">                   </w:t>
      </w:r>
      <w:r>
        <w:rPr>
          <w:rFonts w:hint="eastAsia" w:ascii="黑体" w:hAnsi="黑体" w:eastAsia="黑体"/>
          <w:sz w:val="32"/>
          <w:u w:val="single"/>
        </w:rPr>
        <w:t xml:space="preserve"> </w:t>
      </w:r>
      <w:r>
        <w:rPr>
          <w:rFonts w:ascii="黑体" w:hAnsi="黑体" w:eastAsia="黑体"/>
          <w:sz w:val="32"/>
          <w:u w:val="single"/>
        </w:rPr>
        <w:t xml:space="preserve">            </w:t>
      </w:r>
      <w:r>
        <w:rPr>
          <w:rFonts w:hint="eastAsia" w:ascii="黑体" w:hAnsi="黑体" w:eastAsia="黑体"/>
          <w:bCs/>
          <w:sz w:val="32"/>
        </w:rPr>
        <w:t xml:space="preserve"> </w:t>
      </w:r>
    </w:p>
    <w:p>
      <w:pPr>
        <w:rPr>
          <w:rFonts w:ascii="黑体" w:hAnsi="黑体" w:eastAsia="黑体"/>
          <w:sz w:val="44"/>
          <w:szCs w:val="44"/>
        </w:rPr>
      </w:pPr>
    </w:p>
    <w:p>
      <w:pPr>
        <w:rPr>
          <w:rFonts w:ascii="黑体" w:hAnsi="黑体" w:eastAsia="黑体"/>
          <w:sz w:val="44"/>
          <w:szCs w:val="44"/>
        </w:rPr>
      </w:pPr>
    </w:p>
    <w:p>
      <w:pPr>
        <w:rPr>
          <w:rFonts w:ascii="黑体" w:hAnsi="黑体" w:eastAsia="黑体"/>
          <w:sz w:val="44"/>
          <w:szCs w:val="44"/>
        </w:rPr>
      </w:pPr>
    </w:p>
    <w:p>
      <w:pPr>
        <w:rPr>
          <w:rFonts w:ascii="黑体" w:hAnsi="黑体" w:eastAsia="黑体"/>
          <w:sz w:val="44"/>
          <w:szCs w:val="44"/>
        </w:rPr>
      </w:pPr>
    </w:p>
    <w:tbl>
      <w:tblPr>
        <w:tblStyle w:val="15"/>
        <w:tblpPr w:leftFromText="180" w:rightFromText="180" w:vertAnchor="page" w:horzAnchor="margin" w:tblpXSpec="center" w:tblpY="159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73"/>
        <w:gridCol w:w="1748"/>
        <w:gridCol w:w="2572"/>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5" w:type="dxa"/>
          </w:tcPr>
          <w:p>
            <w:pPr>
              <w:spacing w:line="580" w:lineRule="exact"/>
              <w:rPr>
                <w:rFonts w:ascii="仿宋" w:hAnsi="仿宋" w:eastAsia="仿宋"/>
                <w:sz w:val="28"/>
                <w:szCs w:val="28"/>
              </w:rPr>
            </w:pPr>
            <w:r>
              <w:rPr>
                <w:rFonts w:hint="eastAsia" w:ascii="仿宋" w:hAnsi="仿宋" w:eastAsia="仿宋"/>
                <w:sz w:val="28"/>
                <w:szCs w:val="28"/>
              </w:rPr>
              <w:t>试点单位</w:t>
            </w:r>
          </w:p>
        </w:tc>
        <w:tc>
          <w:tcPr>
            <w:tcW w:w="6850" w:type="dxa"/>
            <w:gridSpan w:val="4"/>
          </w:tcPr>
          <w:p>
            <w:pPr>
              <w:spacing w:line="580" w:lineRule="exact"/>
              <w:rPr>
                <w:rFonts w:ascii="仿宋" w:hAnsi="仿宋" w:eastAsia="仿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5" w:type="dxa"/>
          </w:tcPr>
          <w:p>
            <w:pPr>
              <w:spacing w:line="580" w:lineRule="exact"/>
              <w:rPr>
                <w:rFonts w:ascii="仿宋" w:hAnsi="仿宋" w:eastAsia="仿宋"/>
                <w:sz w:val="28"/>
                <w:szCs w:val="28"/>
              </w:rPr>
            </w:pPr>
            <w:r>
              <w:rPr>
                <w:rFonts w:hint="eastAsia" w:ascii="仿宋" w:hAnsi="仿宋" w:eastAsia="仿宋"/>
                <w:sz w:val="28"/>
                <w:szCs w:val="28"/>
              </w:rPr>
              <w:t>地    址</w:t>
            </w:r>
          </w:p>
        </w:tc>
        <w:tc>
          <w:tcPr>
            <w:tcW w:w="6850" w:type="dxa"/>
            <w:gridSpan w:val="4"/>
          </w:tcPr>
          <w:p>
            <w:pPr>
              <w:spacing w:line="5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235" w:type="dxa"/>
          </w:tcPr>
          <w:p>
            <w:pPr>
              <w:spacing w:line="580" w:lineRule="exact"/>
              <w:rPr>
                <w:rFonts w:ascii="仿宋" w:hAnsi="仿宋" w:eastAsia="仿宋"/>
                <w:sz w:val="28"/>
                <w:szCs w:val="28"/>
              </w:rPr>
            </w:pPr>
            <w:r>
              <w:rPr>
                <w:rFonts w:hint="eastAsia" w:ascii="仿宋" w:hAnsi="仿宋" w:eastAsia="仿宋"/>
                <w:sz w:val="28"/>
                <w:szCs w:val="28"/>
              </w:rPr>
              <w:t>试点方向</w:t>
            </w:r>
          </w:p>
        </w:tc>
        <w:tc>
          <w:tcPr>
            <w:tcW w:w="6850" w:type="dxa"/>
            <w:gridSpan w:val="4"/>
            <w:vAlign w:val="center"/>
          </w:tcPr>
          <w:p>
            <w:pPr>
              <w:widowControl/>
              <w:autoSpaceDN w:val="0"/>
              <w:spacing w:line="400" w:lineRule="exact"/>
              <w:rPr>
                <w:rFonts w:ascii="仿宋" w:hAnsi="仿宋" w:eastAsia="仿宋" w:cs="方正小标宋简体"/>
                <w:sz w:val="24"/>
                <w:szCs w:val="24"/>
              </w:rPr>
            </w:pPr>
            <w:r>
              <w:rPr>
                <w:rFonts w:hint="eastAsia" w:ascii="仿宋" w:hAnsi="仿宋" w:eastAsia="仿宋" w:cs="方正小标宋简体"/>
                <w:sz w:val="24"/>
                <w:szCs w:val="24"/>
              </w:rPr>
              <w:t>1、商贸流通提质增效</w:t>
            </w:r>
            <w:r>
              <w:rPr>
                <w:rFonts w:hint="eastAsia" w:ascii="仿宋" w:hAnsi="仿宋" w:eastAsia="仿宋" w:cs="方正小标宋简体"/>
                <w:sz w:val="24"/>
                <w:szCs w:val="24"/>
              </w:rPr>
              <w:sym w:font="Wingdings 2" w:char="00A3"/>
            </w:r>
            <w:r>
              <w:rPr>
                <w:rFonts w:hint="eastAsia" w:ascii="仿宋" w:hAnsi="仿宋" w:eastAsia="仿宋" w:cs="方正小标宋简体"/>
                <w:sz w:val="24"/>
                <w:szCs w:val="24"/>
              </w:rPr>
              <w:t xml:space="preserve">    2、内外贸一体化</w:t>
            </w:r>
            <w:r>
              <w:rPr>
                <w:rFonts w:hint="eastAsia" w:ascii="仿宋" w:hAnsi="仿宋" w:eastAsia="仿宋" w:cs="方正小标宋简体"/>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235" w:type="dxa"/>
          </w:tcPr>
          <w:p>
            <w:pPr>
              <w:spacing w:line="580" w:lineRule="exact"/>
              <w:rPr>
                <w:rFonts w:ascii="仿宋" w:hAnsi="仿宋" w:eastAsia="仿宋"/>
                <w:sz w:val="28"/>
                <w:szCs w:val="28"/>
              </w:rPr>
            </w:pPr>
            <w:r>
              <w:rPr>
                <w:rFonts w:hint="eastAsia" w:ascii="仿宋" w:hAnsi="仿宋" w:eastAsia="仿宋"/>
                <w:sz w:val="28"/>
                <w:szCs w:val="28"/>
              </w:rPr>
              <w:t>所属行业或领域</w:t>
            </w:r>
          </w:p>
        </w:tc>
        <w:tc>
          <w:tcPr>
            <w:tcW w:w="6850" w:type="dxa"/>
            <w:gridSpan w:val="4"/>
          </w:tcPr>
          <w:p>
            <w:pPr>
              <w:spacing w:line="5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8" w:type="dxa"/>
            <w:gridSpan w:val="2"/>
          </w:tcPr>
          <w:p>
            <w:pPr>
              <w:spacing w:line="580" w:lineRule="exact"/>
              <w:rPr>
                <w:rFonts w:ascii="仿宋" w:hAnsi="仿宋" w:eastAsia="仿宋"/>
                <w:sz w:val="28"/>
                <w:szCs w:val="28"/>
              </w:rPr>
            </w:pPr>
            <w:r>
              <w:rPr>
                <w:rFonts w:hint="eastAsia" w:ascii="仿宋" w:hAnsi="仿宋" w:eastAsia="仿宋"/>
                <w:sz w:val="28"/>
                <w:szCs w:val="28"/>
              </w:rPr>
              <w:t>标准化管理机构名称</w:t>
            </w:r>
          </w:p>
        </w:tc>
        <w:tc>
          <w:tcPr>
            <w:tcW w:w="1748" w:type="dxa"/>
          </w:tcPr>
          <w:p>
            <w:pPr>
              <w:spacing w:line="580" w:lineRule="exact"/>
              <w:rPr>
                <w:rFonts w:ascii="仿宋" w:hAnsi="仿宋" w:eastAsia="仿宋"/>
                <w:sz w:val="28"/>
                <w:szCs w:val="28"/>
              </w:rPr>
            </w:pPr>
          </w:p>
        </w:tc>
        <w:tc>
          <w:tcPr>
            <w:tcW w:w="2572" w:type="dxa"/>
          </w:tcPr>
          <w:p>
            <w:pPr>
              <w:spacing w:line="580" w:lineRule="exact"/>
              <w:rPr>
                <w:rFonts w:ascii="仿宋" w:hAnsi="仿宋" w:eastAsia="仿宋"/>
                <w:sz w:val="28"/>
                <w:szCs w:val="28"/>
              </w:rPr>
            </w:pPr>
            <w:r>
              <w:rPr>
                <w:rFonts w:hint="eastAsia" w:ascii="仿宋" w:hAnsi="仿宋" w:eastAsia="仿宋"/>
                <w:sz w:val="28"/>
                <w:szCs w:val="28"/>
              </w:rPr>
              <w:t>标准化负责人姓名</w:t>
            </w:r>
          </w:p>
        </w:tc>
        <w:tc>
          <w:tcPr>
            <w:tcW w:w="1957" w:type="dxa"/>
          </w:tcPr>
          <w:p>
            <w:pPr>
              <w:spacing w:line="5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8" w:type="dxa"/>
            <w:gridSpan w:val="2"/>
          </w:tcPr>
          <w:p>
            <w:pPr>
              <w:spacing w:line="580" w:lineRule="exact"/>
              <w:rPr>
                <w:rFonts w:ascii="仿宋" w:hAnsi="仿宋" w:eastAsia="仿宋"/>
                <w:sz w:val="28"/>
                <w:szCs w:val="28"/>
              </w:rPr>
            </w:pPr>
            <w:r>
              <w:rPr>
                <w:rFonts w:hint="eastAsia" w:ascii="仿宋" w:hAnsi="仿宋" w:eastAsia="仿宋"/>
                <w:sz w:val="28"/>
                <w:szCs w:val="28"/>
              </w:rPr>
              <w:t>联系人</w:t>
            </w:r>
          </w:p>
        </w:tc>
        <w:tc>
          <w:tcPr>
            <w:tcW w:w="1748" w:type="dxa"/>
          </w:tcPr>
          <w:p>
            <w:pPr>
              <w:spacing w:line="580" w:lineRule="exact"/>
              <w:rPr>
                <w:rFonts w:ascii="仿宋" w:hAnsi="仿宋" w:eastAsia="仿宋"/>
                <w:sz w:val="28"/>
                <w:szCs w:val="28"/>
              </w:rPr>
            </w:pPr>
          </w:p>
        </w:tc>
        <w:tc>
          <w:tcPr>
            <w:tcW w:w="2572" w:type="dxa"/>
          </w:tcPr>
          <w:p>
            <w:pPr>
              <w:spacing w:line="580" w:lineRule="exact"/>
              <w:rPr>
                <w:rFonts w:ascii="仿宋" w:hAnsi="仿宋" w:eastAsia="仿宋"/>
                <w:sz w:val="28"/>
                <w:szCs w:val="28"/>
              </w:rPr>
            </w:pPr>
            <w:r>
              <w:rPr>
                <w:rFonts w:hint="eastAsia" w:ascii="仿宋" w:hAnsi="仿宋" w:eastAsia="仿宋"/>
                <w:sz w:val="28"/>
                <w:szCs w:val="28"/>
              </w:rPr>
              <w:t>电话</w:t>
            </w:r>
          </w:p>
        </w:tc>
        <w:tc>
          <w:tcPr>
            <w:tcW w:w="1957" w:type="dxa"/>
          </w:tcPr>
          <w:p>
            <w:pPr>
              <w:spacing w:line="5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08" w:type="dxa"/>
            <w:gridSpan w:val="2"/>
          </w:tcPr>
          <w:p>
            <w:pPr>
              <w:spacing w:line="580" w:lineRule="exact"/>
              <w:rPr>
                <w:rFonts w:ascii="仿宋" w:hAnsi="仿宋" w:eastAsia="仿宋"/>
                <w:sz w:val="28"/>
                <w:szCs w:val="28"/>
              </w:rPr>
            </w:pPr>
            <w:r>
              <w:rPr>
                <w:rFonts w:hint="eastAsia" w:ascii="仿宋" w:hAnsi="仿宋" w:eastAsia="仿宋"/>
                <w:sz w:val="28"/>
                <w:szCs w:val="28"/>
              </w:rPr>
              <w:t>试点实施期限</w:t>
            </w:r>
          </w:p>
        </w:tc>
        <w:tc>
          <w:tcPr>
            <w:tcW w:w="6277" w:type="dxa"/>
            <w:gridSpan w:val="3"/>
          </w:tcPr>
          <w:p>
            <w:pPr>
              <w:spacing w:line="5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085" w:type="dxa"/>
            <w:gridSpan w:val="5"/>
          </w:tcPr>
          <w:p>
            <w:pPr>
              <w:spacing w:line="580" w:lineRule="exact"/>
              <w:jc w:val="center"/>
              <w:rPr>
                <w:rFonts w:ascii="仿宋" w:hAnsi="仿宋" w:eastAsia="仿宋"/>
                <w:sz w:val="28"/>
                <w:szCs w:val="28"/>
              </w:rPr>
            </w:pPr>
            <w:r>
              <w:rPr>
                <w:rFonts w:hint="eastAsia" w:ascii="仿宋" w:hAnsi="仿宋" w:eastAsia="仿宋"/>
                <w:sz w:val="28"/>
                <w:szCs w:val="28"/>
              </w:rPr>
              <w:t>试点工作主要涉及范围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3" w:hRule="atLeast"/>
        </w:trPr>
        <w:tc>
          <w:tcPr>
            <w:tcW w:w="9085" w:type="dxa"/>
            <w:gridSpan w:val="5"/>
            <w:tcBorders>
              <w:bottom w:val="single" w:color="auto" w:sz="4" w:space="0"/>
            </w:tcBorders>
          </w:tcPr>
          <w:p>
            <w:pPr>
              <w:spacing w:line="58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85" w:type="dxa"/>
            <w:gridSpan w:val="5"/>
          </w:tcPr>
          <w:p>
            <w:pPr>
              <w:spacing w:line="580" w:lineRule="exact"/>
              <w:ind w:left="-105" w:leftChars="-50" w:right="-105" w:rightChars="-50"/>
              <w:jc w:val="center"/>
              <w:rPr>
                <w:rFonts w:ascii="仿宋" w:hAnsi="仿宋" w:eastAsia="仿宋"/>
                <w:spacing w:val="-20"/>
                <w:sz w:val="28"/>
                <w:szCs w:val="28"/>
              </w:rPr>
            </w:pPr>
            <w:r>
              <w:rPr>
                <w:rFonts w:hint="eastAsia" w:ascii="仿宋" w:hAnsi="仿宋" w:eastAsia="仿宋"/>
                <w:spacing w:val="-20"/>
                <w:sz w:val="28"/>
                <w:szCs w:val="28"/>
              </w:rPr>
              <w:t>自   查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085" w:type="dxa"/>
            <w:gridSpan w:val="5"/>
          </w:tcPr>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left="-105" w:leftChars="-50"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p>
            <w:pPr>
              <w:spacing w:line="580" w:lineRule="exact"/>
              <w:ind w:right="-105" w:rightChars="-50"/>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9085" w:type="dxa"/>
            <w:gridSpan w:val="5"/>
          </w:tcPr>
          <w:p>
            <w:pPr>
              <w:rPr>
                <w:rFonts w:ascii="仿宋" w:hAnsi="仿宋" w:eastAsia="仿宋"/>
                <w:sz w:val="28"/>
                <w:szCs w:val="28"/>
              </w:rPr>
            </w:pPr>
            <w:r>
              <w:rPr>
                <w:rFonts w:hint="eastAsia" w:ascii="仿宋" w:hAnsi="仿宋" w:eastAsia="仿宋"/>
                <w:sz w:val="28"/>
                <w:szCs w:val="28"/>
              </w:rPr>
              <w:t>申请单位（盖章）：</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ind w:firstLine="5040" w:firstLineChars="1800"/>
              <w:rPr>
                <w:rFonts w:ascii="仿宋" w:hAnsi="仿宋" w:eastAsia="仿宋"/>
                <w:sz w:val="28"/>
                <w:szCs w:val="28"/>
              </w:rPr>
            </w:pPr>
            <w:r>
              <w:rPr>
                <w:rFonts w:hint="eastAsia" w:ascii="仿宋" w:hAnsi="仿宋" w:eastAsia="仿宋"/>
                <w:sz w:val="28"/>
                <w:szCs w:val="28"/>
              </w:rPr>
              <w:t>负责人（签名）</w:t>
            </w:r>
          </w:p>
          <w:p>
            <w:pPr>
              <w:ind w:firstLine="1680" w:firstLineChars="600"/>
              <w:jc w:val="center"/>
              <w:rPr>
                <w:rFonts w:ascii="仿宋" w:hAnsi="仿宋" w:eastAsia="仿宋"/>
                <w:sz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tc>
      </w:tr>
    </w:tbl>
    <w:p>
      <w:pPr>
        <w:spacing w:line="20" w:lineRule="exact"/>
        <w:rPr>
          <w:sz w:val="10"/>
          <w:szCs w:val="10"/>
        </w:rPr>
      </w:pPr>
    </w:p>
    <w:p>
      <w:pPr>
        <w:pStyle w:val="6"/>
        <w:widowControl/>
        <w:numPr>
          <w:ilvl w:val="0"/>
          <w:numId w:val="0"/>
        </w:numPr>
        <w:tabs>
          <w:tab w:val="left" w:pos="0"/>
        </w:tabs>
        <w:spacing w:after="0" w:line="594" w:lineRule="exact"/>
        <w:jc w:val="both"/>
        <w:rPr>
          <w:rFonts w:hint="eastAsia" w:ascii="仿宋" w:hAnsi="仿宋" w:eastAsia="仿宋"/>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keepLines/>
        <w:pageBreakBefore w:val="0"/>
        <w:widowControl/>
        <w:kinsoku/>
        <w:wordWrap/>
        <w:overflowPunct/>
        <w:topLinePunct w:val="0"/>
        <w:autoSpaceDE/>
        <w:autoSpaceDN/>
        <w:bidi w:val="0"/>
        <w:adjustRightInd/>
        <w:snapToGrid/>
        <w:spacing w:line="240" w:lineRule="auto"/>
        <w:textAlignment w:val="auto"/>
        <w:outlineLvl w:val="0"/>
        <w:rPr>
          <w:rFonts w:hint="default" w:eastAsia="黑体"/>
          <w:b/>
          <w:kern w:val="44"/>
          <w:sz w:val="44"/>
          <w:szCs w:val="20"/>
          <w:lang w:val="en-US" w:eastAsia="zh-CN"/>
        </w:rPr>
      </w:pPr>
      <w:bookmarkStart w:id="34" w:name="_Toc490755314"/>
      <w:bookmarkStart w:id="35" w:name="_Toc87536607"/>
      <w:bookmarkStart w:id="36" w:name="_Toc2125426049"/>
      <w:bookmarkStart w:id="37" w:name="_Toc87536356"/>
      <w:bookmarkStart w:id="38" w:name="_Toc2058043635"/>
      <w:bookmarkStart w:id="39" w:name="_Toc83815814"/>
      <w:bookmarkStart w:id="40" w:name="_Toc664252860"/>
      <w:bookmarkStart w:id="41" w:name="_Toc1481297218"/>
      <w:r>
        <w:rPr>
          <w:rFonts w:hint="eastAsia" w:ascii="黑体" w:hAnsi="黑体" w:eastAsia="黑体" w:cs="黑体"/>
          <w:bCs/>
          <w:kern w:val="44"/>
          <w:sz w:val="32"/>
          <w:szCs w:val="32"/>
        </w:rPr>
        <w:t>附</w:t>
      </w:r>
      <w:bookmarkEnd w:id="34"/>
      <w:bookmarkEnd w:id="35"/>
      <w:bookmarkEnd w:id="36"/>
      <w:bookmarkEnd w:id="37"/>
      <w:bookmarkEnd w:id="38"/>
      <w:bookmarkEnd w:id="39"/>
      <w:r>
        <w:rPr>
          <w:rFonts w:hint="eastAsia" w:ascii="黑体" w:hAnsi="黑体" w:eastAsia="黑体" w:cs="黑体"/>
          <w:bCs/>
          <w:kern w:val="44"/>
          <w:sz w:val="32"/>
          <w:szCs w:val="32"/>
          <w:lang w:eastAsia="zh-CN"/>
        </w:rPr>
        <w:t>件</w:t>
      </w:r>
      <w:r>
        <w:rPr>
          <w:rFonts w:hint="eastAsia" w:ascii="黑体" w:hAnsi="黑体" w:eastAsia="黑体" w:cs="黑体"/>
          <w:bCs/>
          <w:kern w:val="44"/>
          <w:sz w:val="32"/>
          <w:szCs w:val="32"/>
          <w:lang w:val="en-US" w:eastAsia="zh-CN"/>
        </w:rPr>
        <w:t>3</w:t>
      </w:r>
      <w:bookmarkEnd w:id="40"/>
      <w:bookmarkEnd w:id="41"/>
    </w:p>
    <w:p>
      <w:pPr>
        <w:adjustRightInd w:val="0"/>
        <w:snapToGrid w:val="0"/>
        <w:jc w:val="center"/>
        <w:rPr>
          <w:rFonts w:hint="eastAsia" w:ascii="黑体" w:hAnsi="黑体" w:eastAsia="黑体"/>
          <w:color w:val="000000" w:themeColor="text1"/>
          <w:sz w:val="32"/>
          <w:szCs w:val="36"/>
          <w:lang w:val="en-US" w:eastAsia="zh-CN"/>
          <w14:textFill>
            <w14:solidFill>
              <w14:schemeClr w14:val="tx1"/>
            </w14:solidFill>
          </w14:textFill>
        </w:rPr>
      </w:pPr>
      <w:r>
        <w:rPr>
          <w:rFonts w:hint="eastAsia" w:ascii="黑体" w:hAnsi="黑体" w:eastAsia="黑体"/>
          <w:color w:val="000000" w:themeColor="text1"/>
          <w:sz w:val="32"/>
          <w:szCs w:val="36"/>
          <w14:textFill>
            <w14:solidFill>
              <w14:schemeClr w14:val="tx1"/>
            </w14:solidFill>
          </w14:textFill>
        </w:rPr>
        <w:t>国家级服务业标准化试点（商贸流通专项）评估计分表</w:t>
      </w:r>
      <w:r>
        <w:rPr>
          <w:rFonts w:hint="eastAsia" w:ascii="黑体" w:hAnsi="黑体" w:eastAsia="黑体"/>
          <w:color w:val="000000" w:themeColor="text1"/>
          <w:sz w:val="32"/>
          <w:szCs w:val="36"/>
          <w:lang w:eastAsia="zh-CN"/>
          <w14:textFill>
            <w14:solidFill>
              <w14:schemeClr w14:val="tx1"/>
            </w14:solidFill>
          </w14:textFill>
        </w:rPr>
        <w:t>（暂定）</w:t>
      </w:r>
    </w:p>
    <w:p>
      <w:pPr>
        <w:adjustRightInd w:val="0"/>
        <w:snapToGrid w:val="0"/>
        <w:jc w:val="center"/>
        <w:rPr>
          <w:rFonts w:ascii="方正小标宋简体" w:hAnsi="方正小标宋简体" w:eastAsia="方正小标宋简体"/>
          <w:color w:val="000000" w:themeColor="text1"/>
          <w:sz w:val="36"/>
          <w:szCs w:val="36"/>
          <w14:textFill>
            <w14:solidFill>
              <w14:schemeClr w14:val="tx1"/>
            </w14:solidFill>
          </w14:textFill>
        </w:rPr>
      </w:pPr>
    </w:p>
    <w:tbl>
      <w:tblPr>
        <w:tblStyle w:val="15"/>
        <w:tblpPr w:leftFromText="180" w:rightFromText="180" w:vertAnchor="text" w:tblpXSpec="center" w:tblpY="1"/>
        <w:tblOverlap w:val="never"/>
        <w:tblW w:w="47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877"/>
        <w:gridCol w:w="3118"/>
        <w:gridCol w:w="567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w:t>
            </w:r>
          </w:p>
        </w:tc>
        <w:tc>
          <w:tcPr>
            <w:tcW w:w="70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分项</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内容和要求</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评分标准</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05"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一、标准化工作基本要求（10分）</w:t>
            </w:r>
          </w:p>
        </w:tc>
        <w:tc>
          <w:tcPr>
            <w:tcW w:w="702"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1.1机构管理</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领导机构(2分)</w:t>
            </w:r>
          </w:p>
        </w:tc>
        <w:tc>
          <w:tcPr>
            <w:tcW w:w="2121" w:type="pct"/>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成立了有主管领导负责的试点领导机构；</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规定了领导机构的主要任务，工作有效。</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工作机构（1分）</w:t>
            </w:r>
          </w:p>
        </w:tc>
        <w:tc>
          <w:tcPr>
            <w:tcW w:w="2121" w:type="pct"/>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有试点专/兼职工作机构,规定了标准化工作职责;</w:t>
            </w:r>
          </w:p>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提供了必要的工作条件。</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c>
          <w:tcPr>
            <w:tcW w:w="702"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1.2人员管理</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专兼职工作人员配备及职责，标准化教育和培训（2分）</w:t>
            </w:r>
          </w:p>
        </w:tc>
        <w:tc>
          <w:tcPr>
            <w:tcW w:w="2121" w:type="pct"/>
            <w:vAlign w:val="center"/>
          </w:tcPr>
          <w:p>
            <w:pPr>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任命了专（兼）职标准化人员，并明确其职责；</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有专（兼）职标准化人员接受标准化教育和培训的证明资料,人员能力满足工作需求。</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p>
        </w:tc>
        <w:tc>
          <w:tcPr>
            <w:tcW w:w="702" w:type="pct"/>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1.3工作管理</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制定标准化工作制度，并形成规范性文件（1分）</w:t>
            </w:r>
          </w:p>
        </w:tc>
        <w:tc>
          <w:tcPr>
            <w:tcW w:w="2121" w:type="pct"/>
            <w:vAlign w:val="center"/>
          </w:tcPr>
          <w:p>
            <w:pPr>
              <w:keepNext w:val="0"/>
              <w:keepLines w:val="0"/>
              <w:pageBreakBefore w:val="0"/>
              <w:widowControl/>
              <w:numPr>
                <w:ilvl w:val="0"/>
                <w:numId w:val="4"/>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有标准化管理办法（标准）；</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建立了明确的监督检查制度。</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对组织所开展的标准化活动进行策划、安排以及加强对各环节的管理（3分）</w:t>
            </w:r>
          </w:p>
        </w:tc>
        <w:tc>
          <w:tcPr>
            <w:tcW w:w="2121" w:type="pct"/>
            <w:vAlign w:val="center"/>
          </w:tcPr>
          <w:p>
            <w:pPr>
              <w:keepNext w:val="0"/>
              <w:keepLines w:val="0"/>
              <w:pageBreakBefore w:val="0"/>
              <w:widowControl/>
              <w:numPr>
                <w:ilvl w:val="0"/>
                <w:numId w:val="5"/>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有工作规划，明确试点工作内容、目标和总体要求，试点各部门有相应的工作计划，任务明确，责任到人；</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有试点实施方案，对总体目标进行分解，明确阶段目标、工作步骤和保障措施。方案中包括了标准实施计划或方案；</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召开动员大会或采用其它形式进行广泛动员， 组织有关部门（或单位）有计划、有步骤地开展标准化活动。</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c>
          <w:tcPr>
            <w:tcW w:w="702"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1.4信息管理</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信息收集、整理、更新、分析和综合利用以及记录和保存（1分）</w:t>
            </w:r>
          </w:p>
        </w:tc>
        <w:tc>
          <w:tcPr>
            <w:tcW w:w="2121" w:type="pct"/>
            <w:vAlign w:val="center"/>
          </w:tcPr>
          <w:p>
            <w:pPr>
              <w:keepNext w:val="0"/>
              <w:keepLines w:val="0"/>
              <w:pageBreakBefore w:val="0"/>
              <w:widowControl/>
              <w:numPr>
                <w:ilvl w:val="0"/>
                <w:numId w:val="6"/>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有信息的收集渠道，建立标准化信息库并及时更新，利用信息化手段开展标准化工作；</w:t>
            </w:r>
          </w:p>
          <w:p>
            <w:pPr>
              <w:keepNext w:val="0"/>
              <w:keepLines w:val="0"/>
              <w:pageBreakBefore w:val="0"/>
              <w:widowControl/>
              <w:numPr>
                <w:ilvl w:val="0"/>
                <w:numId w:val="6"/>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对标准信息进行了综合利用，提出结合组织实际的标准化措施建议。建立并保持了标准体系重要事项的记录。</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5" w:type="pct"/>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二、</w:t>
            </w:r>
            <w:r>
              <w:rPr>
                <w:rFonts w:hint="eastAsia" w:ascii="仿宋" w:hAnsi="仿宋" w:eastAsia="仿宋" w:cs="仿宋"/>
                <w:kern w:val="0"/>
                <w:sz w:val="21"/>
                <w:szCs w:val="21"/>
              </w:rPr>
              <w:t>标准体系（40分）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二、标准体系（40分）</w:t>
            </w:r>
          </w:p>
        </w:tc>
        <w:tc>
          <w:tcPr>
            <w:tcW w:w="702" w:type="pct"/>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2.1标准体系总体要求</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符合法律法规（2分）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符合国家安全、卫生、环境和保护消费者合法权益等有关法律法规的要求。</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符合行业实际（2分）</w:t>
            </w: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符合商贸流通行业特点和试点经营管理实际。</w:t>
            </w:r>
          </w:p>
        </w:tc>
        <w:tc>
          <w:tcPr>
            <w:tcW w:w="50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2.2体系完整性（根据试点类型评估其一）</w:t>
            </w:r>
          </w:p>
        </w:tc>
        <w:tc>
          <w:tcPr>
            <w:tcW w:w="1166"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试点城市标准体系（10分）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FF0000"/>
                <w:kern w:val="0"/>
                <w:sz w:val="21"/>
                <w:szCs w:val="21"/>
              </w:rPr>
            </w:pPr>
            <w:r>
              <w:rPr>
                <w:rFonts w:hint="eastAsia" w:ascii="仿宋" w:hAnsi="仿宋" w:eastAsia="仿宋" w:cs="仿宋"/>
                <w:kern w:val="0"/>
                <w:sz w:val="21"/>
                <w:szCs w:val="21"/>
              </w:rPr>
              <w:t>根据试点方向，建立了城市层面的标准体系，标准体系覆盖试点方向的关键方面和环节（5分）</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试点单位实施应用的商贸流通流通国家标准、行业标准全面纳入标准体系之中（5分）</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企业试点标准体系（10分）</w:t>
            </w: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a）试点企业建立了企业层面的标准体系，标准体系覆盖企业经营管理服务的各个方面，标准配套齐全，各项标准都现行有效;标准具有实用性；</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b）</w:t>
            </w:r>
            <w:r>
              <w:rPr>
                <w:rFonts w:hint="eastAsia" w:ascii="仿宋" w:hAnsi="仿宋" w:eastAsia="仿宋" w:cs="仿宋"/>
                <w:sz w:val="21"/>
                <w:szCs w:val="21"/>
              </w:rPr>
              <w:t>符合国家有关法律法规的要求，符合企业特点和试点工作管理实际。</w:t>
            </w:r>
          </w:p>
        </w:tc>
        <w:tc>
          <w:tcPr>
            <w:tcW w:w="506"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2.3体系规范性</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体系合规性（3分）</w:t>
            </w: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a）标准体系框架、标准体系表、标准明细表、标准汇总表和标准文本符合GB/T 24421和GB/T 13016、GB/T 13017、GB/T 1.1的规定; </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b）标准文本结构合理、层次分明、内容具体，文字表达准确、严谨、简明、易懂，术语、符号统一。</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标准完整性（3分）</w:t>
            </w: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a）标准体系构成合理、结构完整，符合</w:t>
            </w:r>
            <w:r>
              <w:rPr>
                <w:rFonts w:hint="eastAsia" w:ascii="仿宋" w:hAnsi="仿宋" w:eastAsia="仿宋" w:cs="仿宋"/>
                <w:kern w:val="0"/>
                <w:sz w:val="21"/>
                <w:szCs w:val="21"/>
              </w:rPr>
              <w:t>GB/T 24421的要求</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b）结合试点实际覆盖了主要工作过程的各个环节，</w:t>
            </w:r>
            <w:r>
              <w:rPr>
                <w:rFonts w:hint="eastAsia" w:ascii="仿宋" w:hAnsi="仿宋" w:eastAsia="仿宋" w:cs="仿宋"/>
                <w:color w:val="000000"/>
                <w:sz w:val="21"/>
                <w:szCs w:val="21"/>
              </w:rPr>
              <w:t>包含内外贸一体化和商贸流通提质增效两大方向的重</w:t>
            </w:r>
            <w:r>
              <w:rPr>
                <w:rFonts w:hint="eastAsia" w:ascii="仿宋" w:hAnsi="仿宋" w:eastAsia="仿宋" w:cs="仿宋"/>
                <w:sz w:val="21"/>
                <w:szCs w:val="21"/>
              </w:rPr>
              <w:t>要标准以及有关法律法规要求必须具备的标准；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sz w:val="21"/>
                <w:szCs w:val="21"/>
              </w:rPr>
              <w:t>c）覆盖了试点单位商贸流通产业的各环节，标准覆盖率要达到80%以上。</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2.4体系协调性</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标准协调性（5分）</w:t>
            </w:r>
          </w:p>
        </w:tc>
        <w:tc>
          <w:tcPr>
            <w:tcW w:w="2121" w:type="pct"/>
            <w:vAlign w:val="center"/>
          </w:tcPr>
          <w:p>
            <w:pPr>
              <w:keepNext w:val="0"/>
              <w:keepLines w:val="0"/>
              <w:pageBreakBefore w:val="0"/>
              <w:widowControl/>
              <w:numPr>
                <w:ilvl w:val="0"/>
                <w:numId w:val="7"/>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标准与相关法律法规协调； </w:t>
            </w:r>
          </w:p>
          <w:p>
            <w:pPr>
              <w:keepNext w:val="0"/>
              <w:keepLines w:val="0"/>
              <w:pageBreakBefore w:val="0"/>
              <w:widowControl/>
              <w:numPr>
                <w:ilvl w:val="0"/>
                <w:numId w:val="7"/>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试点单位标准体系的各标准之间协调。</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2.5体系有效性（根据试点方向评估其一）</w:t>
            </w:r>
          </w:p>
        </w:tc>
        <w:tc>
          <w:tcPr>
            <w:tcW w:w="1166"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内外贸一体化</w:t>
            </w:r>
            <w:r>
              <w:rPr>
                <w:rFonts w:hint="eastAsia" w:ascii="仿宋" w:hAnsi="仿宋" w:eastAsia="仿宋" w:cs="仿宋"/>
                <w:kern w:val="0"/>
                <w:sz w:val="21"/>
                <w:szCs w:val="21"/>
                <w:lang w:eastAsia="zh-CN"/>
              </w:rPr>
              <w:t>方向</w:t>
            </w:r>
            <w:r>
              <w:rPr>
                <w:rFonts w:hint="eastAsia" w:ascii="仿宋" w:hAnsi="仿宋" w:eastAsia="仿宋" w:cs="仿宋"/>
                <w:kern w:val="0"/>
                <w:sz w:val="21"/>
                <w:szCs w:val="21"/>
              </w:rPr>
              <w:t>（15分）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sz w:val="21"/>
                <w:szCs w:val="21"/>
              </w:rPr>
              <w:t>a</w:t>
            </w:r>
            <w:r>
              <w:rPr>
                <w:rFonts w:hint="eastAsia" w:ascii="仿宋" w:hAnsi="仿宋" w:eastAsia="仿宋" w:cs="仿宋"/>
                <w:kern w:val="0"/>
                <w:sz w:val="21"/>
                <w:szCs w:val="21"/>
              </w:rPr>
              <w:t>）标准体系体现内外贸一体化特点，满足试点建设实际；</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b）标准体系能满足试点目标任务的完成；</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kern w:val="0"/>
                <w:sz w:val="21"/>
                <w:szCs w:val="21"/>
              </w:rPr>
              <w:t>c）标准体系文件具有可操作性和可检查性，能对试点单位各项活动（保证流通服务质量、提升工作效率、提高贸易便利化等）起到支撑作用，能保证体系正常运行及持续改进的措施有效。</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a）积极采用先进国际标准。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b）制定发布了一批农产品流通、消费品流通、跨境电商、服务贸易等领域与国际接轨的标准。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c）推动国内外标准互联互通，以标准化建设带动了内外贸领域认证、检验检疫等衔接。</w:t>
            </w:r>
          </w:p>
        </w:tc>
        <w:tc>
          <w:tcPr>
            <w:tcW w:w="506"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商贸流通提质升级</w:t>
            </w:r>
            <w:r>
              <w:rPr>
                <w:rFonts w:hint="eastAsia" w:ascii="仿宋" w:hAnsi="仿宋" w:eastAsia="仿宋" w:cs="仿宋"/>
                <w:kern w:val="0"/>
                <w:sz w:val="21"/>
                <w:szCs w:val="21"/>
                <w:lang w:eastAsia="zh-CN"/>
              </w:rPr>
              <w:t>方向</w:t>
            </w:r>
            <w:r>
              <w:rPr>
                <w:rFonts w:hint="eastAsia" w:ascii="仿宋" w:hAnsi="仿宋" w:eastAsia="仿宋" w:cs="仿宋"/>
                <w:kern w:val="0"/>
                <w:sz w:val="21"/>
                <w:szCs w:val="21"/>
              </w:rPr>
              <w:t>（15分）</w:t>
            </w: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a）标准体系能推动试点单位</w:t>
            </w:r>
            <w:r>
              <w:rPr>
                <w:rFonts w:hint="eastAsia" w:ascii="仿宋" w:hAnsi="仿宋" w:eastAsia="仿宋" w:cs="仿宋"/>
                <w:kern w:val="0"/>
                <w:sz w:val="21"/>
                <w:szCs w:val="21"/>
              </w:rPr>
              <w:t>商贸流通体制升级</w:t>
            </w:r>
            <w:r>
              <w:rPr>
                <w:rFonts w:hint="eastAsia" w:ascii="仿宋" w:hAnsi="仿宋" w:eastAsia="仿宋" w:cs="仿宋"/>
                <w:sz w:val="21"/>
                <w:szCs w:val="21"/>
              </w:rPr>
              <w:t>，满足试点建设实际；</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b）标准体系能满足试点目标任务的完成；</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sz w:val="21"/>
                <w:szCs w:val="21"/>
              </w:rPr>
              <w:t>c）标准体系文件具有可操作性和可检查性，能对试点单位各项活动（保证服务设施改造、服务质量升级、工作效率提高等）起到支撑作用，能保证体系正常运行及持续改进的措施有效。</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2121" w:type="pct"/>
            <w:vAlign w:val="center"/>
          </w:tcPr>
          <w:p>
            <w:pPr>
              <w:keepNext w:val="0"/>
              <w:keepLines w:val="0"/>
              <w:pageBreakBefore w:val="0"/>
              <w:numPr>
                <w:ilvl w:val="0"/>
                <w:numId w:val="8"/>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制定发布了一批适应数字化、规范化、智能化、品牌化、绿色化发展的标准;</w:t>
            </w:r>
          </w:p>
          <w:p>
            <w:pPr>
              <w:keepNext w:val="0"/>
              <w:keepLines w:val="0"/>
              <w:pageBreakBefore w:val="0"/>
              <w:numPr>
                <w:ilvl w:val="0"/>
                <w:numId w:val="8"/>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制定的标准具有国内先进性。</w:t>
            </w:r>
          </w:p>
        </w:tc>
        <w:tc>
          <w:tcPr>
            <w:tcW w:w="506"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05" w:type="pct"/>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sz w:val="21"/>
                <w:szCs w:val="21"/>
              </w:rPr>
              <w:t>三、标准实施与持续改进（30分）</w:t>
            </w:r>
          </w:p>
        </w:tc>
        <w:tc>
          <w:tcPr>
            <w:tcW w:w="702" w:type="pct"/>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3.1标准实施</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标准宣贯和培训（2分）</w:t>
            </w:r>
          </w:p>
        </w:tc>
        <w:tc>
          <w:tcPr>
            <w:tcW w:w="2121" w:type="pct"/>
            <w:vAlign w:val="center"/>
          </w:tcPr>
          <w:p>
            <w:pPr>
              <w:keepNext w:val="0"/>
              <w:keepLines w:val="0"/>
              <w:pageBreakBefore w:val="0"/>
              <w:widowControl/>
              <w:numPr>
                <w:ilvl w:val="0"/>
                <w:numId w:val="9"/>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实施了标准宣贯和培训；  </w:t>
            </w:r>
          </w:p>
          <w:p>
            <w:pPr>
              <w:keepNext w:val="0"/>
              <w:keepLines w:val="0"/>
              <w:pageBreakBefore w:val="0"/>
              <w:widowControl/>
              <w:numPr>
                <w:ilvl w:val="0"/>
                <w:numId w:val="9"/>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各岗位人员掌握相关标准，具有一定的标准化知识。</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标准实施准备（2分）</w:t>
            </w:r>
          </w:p>
        </w:tc>
        <w:tc>
          <w:tcPr>
            <w:tcW w:w="2121" w:type="pct"/>
            <w:vAlign w:val="center"/>
          </w:tcPr>
          <w:p>
            <w:pPr>
              <w:keepNext w:val="0"/>
              <w:keepLines w:val="0"/>
              <w:pageBreakBefore w:val="0"/>
              <w:widowControl/>
              <w:numPr>
                <w:ilvl w:val="0"/>
                <w:numId w:val="10"/>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有标准实施的措施；  </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具备标准实施的必要条件。</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 标准实施（10分）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a) 有标准实施记录，并将各环节形成的数据和有关情况及时反馈；</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b) 检查服务过程中标准的执行情况，确认实施过程中的各个环节和岗是否达到标准的要求；</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c) 服务设施、服务行为规范、服务质量满足标准要求；</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e)</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标准体系中的标准实施率90%以上。</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标准实施检查（8分）</w:t>
            </w:r>
          </w:p>
        </w:tc>
        <w:tc>
          <w:tcPr>
            <w:tcW w:w="2121" w:type="pct"/>
            <w:vAlign w:val="center"/>
          </w:tcPr>
          <w:p>
            <w:pPr>
              <w:keepNext w:val="0"/>
              <w:keepLines w:val="0"/>
              <w:pageBreakBefore w:val="0"/>
              <w:widowControl/>
              <w:numPr>
                <w:ilvl w:val="0"/>
                <w:numId w:val="11"/>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有标准实施检查的制度；</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确定了标准实施检查的机构和人员职责、权限明确；</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制定了开展标准实施检查工作计划（或日常检查程序）；</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定期组织检查，保持实施检查记录和问题处理的记录的完整。</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ind w:left="36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05"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3.2自我评价和持续改进 </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自我评价（2分）</w:t>
            </w:r>
          </w:p>
        </w:tc>
        <w:tc>
          <w:tcPr>
            <w:tcW w:w="2121" w:type="pct"/>
            <w:vAlign w:val="center"/>
          </w:tcPr>
          <w:p>
            <w:pPr>
              <w:keepNext w:val="0"/>
              <w:keepLines w:val="0"/>
              <w:pageBreakBefore w:val="0"/>
              <w:widowControl/>
              <w:numPr>
                <w:ilvl w:val="0"/>
                <w:numId w:val="12"/>
              </w:numPr>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对评价工作进行了必要的准备，确定了评价方案，明确了评价方法和评价指标体系；</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b) 对标准实施的符合性和实施效果进行了评价，形成了评价报告。</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持续改进定期总结试点工作中的方法、经验并在此基础上加以推广，在不断完善标准中改进和提升服务质量（6分）</w:t>
            </w:r>
          </w:p>
        </w:tc>
        <w:tc>
          <w:tcPr>
            <w:tcW w:w="2121" w:type="pct"/>
            <w:vAlign w:val="center"/>
          </w:tcPr>
          <w:p>
            <w:pPr>
              <w:keepNext w:val="0"/>
              <w:keepLines w:val="0"/>
              <w:pageBreakBefore w:val="0"/>
              <w:widowControl/>
              <w:numPr>
                <w:ilvl w:val="0"/>
                <w:numId w:val="13"/>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建立了服务标准化工作持续改进的程序或制度，有持续改进的工作方案或计划；</w:t>
            </w:r>
          </w:p>
          <w:p>
            <w:pPr>
              <w:keepNext w:val="0"/>
              <w:keepLines w:val="0"/>
              <w:pageBreakBefore w:val="0"/>
              <w:widowControl/>
              <w:numPr>
                <w:ilvl w:val="0"/>
                <w:numId w:val="13"/>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针对标准实施检查和自我评价等发现的问题实施了持续改进，及时提出修订标准的建议； </w:t>
            </w:r>
          </w:p>
          <w:p>
            <w:pPr>
              <w:keepNext w:val="0"/>
              <w:keepLines w:val="0"/>
              <w:pageBreakBefore w:val="0"/>
              <w:widowControl/>
              <w:numPr>
                <w:ilvl w:val="0"/>
                <w:numId w:val="13"/>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有持续改进的记录。</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5"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sz w:val="21"/>
                <w:szCs w:val="21"/>
              </w:rPr>
              <w:t>四、绩效评估（20分）</w:t>
            </w:r>
          </w:p>
        </w:tc>
        <w:tc>
          <w:tcPr>
            <w:tcW w:w="702"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4.1效益</w:t>
            </w:r>
          </w:p>
        </w:tc>
        <w:tc>
          <w:tcPr>
            <w:tcW w:w="1166"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经济效益（8分）</w:t>
            </w:r>
          </w:p>
        </w:tc>
        <w:tc>
          <w:tcPr>
            <w:tcW w:w="2121"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比试点前提高10%以上得8分，提高5%得5分。</w:t>
            </w:r>
          </w:p>
        </w:tc>
        <w:tc>
          <w:tcPr>
            <w:tcW w:w="506" w:type="pc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tc>
        <w:tc>
          <w:tcPr>
            <w:tcW w:w="702"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社会效益（8分）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标准化助推形成内外贸一体化措施或提升了本区域商贸</w:t>
            </w:r>
            <w:r>
              <w:rPr>
                <w:rFonts w:hint="eastAsia" w:ascii="仿宋" w:hAnsi="仿宋" w:eastAsia="仿宋" w:cs="仿宋"/>
                <w:kern w:val="0"/>
                <w:sz w:val="21"/>
                <w:szCs w:val="21"/>
                <w:lang w:eastAsia="zh-CN"/>
              </w:rPr>
              <w:t>流通</w:t>
            </w:r>
            <w:r>
              <w:rPr>
                <w:rFonts w:hint="eastAsia" w:ascii="仿宋" w:hAnsi="仿宋" w:eastAsia="仿宋" w:cs="仿宋"/>
                <w:kern w:val="0"/>
                <w:sz w:val="21"/>
                <w:szCs w:val="21"/>
              </w:rPr>
              <w:t>产业数字化、规范化、智能化、品牌化、绿色化发展水平。有证据表明社会效益在全国显著提高的得3分，全省显著提高的得2分，全市显著提高的得1分。</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tc>
        <w:tc>
          <w:tcPr>
            <w:tcW w:w="702"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4.2品牌效应</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品牌效应（2分）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获国家级商贸流通相关奖励得2分，省级商贸流通相关奖励得1分。</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50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tc>
        <w:tc>
          <w:tcPr>
            <w:tcW w:w="702"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4.3标准化创新</w:t>
            </w:r>
          </w:p>
        </w:tc>
        <w:tc>
          <w:tcPr>
            <w:tcW w:w="116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标准化创新（2分）</w:t>
            </w:r>
          </w:p>
        </w:tc>
        <w:tc>
          <w:tcPr>
            <w:tcW w:w="2121"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试点在如下方面取得业绩：</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获创新贡献奖的；</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参与省级以上标准制定的；</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参与省级以上标准化科研的；</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承担标准化技术委员会/分技术委员会/工作组工作的等；</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获市级以上标准化工作表彰的。</w:t>
            </w:r>
          </w:p>
        </w:tc>
        <w:tc>
          <w:tcPr>
            <w:tcW w:w="506"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07"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总分</w:t>
            </w:r>
          </w:p>
        </w:tc>
        <w:tc>
          <w:tcPr>
            <w:tcW w:w="3793"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07"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专家签字</w:t>
            </w:r>
          </w:p>
        </w:tc>
        <w:tc>
          <w:tcPr>
            <w:tcW w:w="3793"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1"/>
                <w:szCs w:val="21"/>
              </w:rPr>
            </w:pPr>
          </w:p>
        </w:tc>
      </w:tr>
    </w:tbl>
    <w:p>
      <w:pPr>
        <w:keepNext/>
        <w:keepLines/>
        <w:widowControl/>
        <w:spacing w:before="340" w:after="330" w:line="578" w:lineRule="auto"/>
        <w:outlineLvl w:val="0"/>
        <w:rPr>
          <w:rFonts w:hint="eastAsia" w:ascii="黑体" w:hAnsi="黑体" w:eastAsia="黑体" w:cs="黑体"/>
          <w:bCs/>
          <w:kern w:val="44"/>
          <w:sz w:val="32"/>
          <w:szCs w:val="32"/>
          <w:lang w:eastAsia="zh-CN"/>
        </w:rPr>
        <w:sectPr>
          <w:pgSz w:w="16838" w:h="11906" w:orient="landscape"/>
          <w:pgMar w:top="1800" w:right="1440" w:bottom="1800" w:left="1440" w:header="851" w:footer="992" w:gutter="0"/>
          <w:pgNumType w:fmt="decimal"/>
          <w:cols w:space="425" w:num="1"/>
          <w:docGrid w:type="lines" w:linePitch="435" w:charSpace="0"/>
        </w:sectPr>
      </w:pPr>
      <w:r>
        <w:rPr>
          <w:rFonts w:hint="eastAsia" w:ascii="黑体" w:hAnsi="黑体" w:eastAsia="黑体" w:cs="黑体"/>
          <w:bCs/>
          <w:kern w:val="44"/>
          <w:sz w:val="32"/>
          <w:szCs w:val="32"/>
          <w:lang w:eastAsia="zh-CN"/>
        </w:rPr>
        <w:t xml:space="preserve"> </w:t>
      </w:r>
      <w:bookmarkStart w:id="42" w:name="_Toc49191627"/>
      <w:bookmarkStart w:id="43" w:name="_Toc87536357"/>
      <w:bookmarkStart w:id="44" w:name="_Toc2003049532"/>
      <w:bookmarkStart w:id="45" w:name="_Toc87536608"/>
      <w:bookmarkStart w:id="46" w:name="_Toc561733379"/>
      <w:bookmarkStart w:id="47" w:name="_Toc464496260"/>
    </w:p>
    <w:p>
      <w:pPr>
        <w:keepNext/>
        <w:keepLines/>
        <w:widowControl/>
        <w:spacing w:before="340" w:after="330" w:line="578" w:lineRule="auto"/>
        <w:outlineLvl w:val="0"/>
        <w:rPr>
          <w:rFonts w:hint="eastAsia" w:ascii="黑体" w:hAnsi="黑体" w:eastAsia="黑体"/>
          <w:b w:val="0"/>
          <w:bCs w:val="0"/>
          <w:sz w:val="32"/>
          <w:szCs w:val="32"/>
          <w:lang w:val="en-US" w:eastAsia="zh-CN"/>
        </w:rPr>
      </w:pPr>
      <w:bookmarkStart w:id="48" w:name="_Toc1109148487"/>
      <w:r>
        <w:rPr>
          <w:rFonts w:hint="eastAsia" w:ascii="黑体" w:hAnsi="黑体" w:eastAsia="黑体"/>
          <w:b w:val="0"/>
          <w:bCs w:val="0"/>
          <w:sz w:val="32"/>
          <w:szCs w:val="32"/>
        </w:rPr>
        <w:t>附件</w:t>
      </w:r>
      <w:bookmarkEnd w:id="42"/>
      <w:bookmarkEnd w:id="43"/>
      <w:bookmarkEnd w:id="44"/>
      <w:bookmarkEnd w:id="45"/>
      <w:bookmarkEnd w:id="46"/>
      <w:r>
        <w:rPr>
          <w:rFonts w:hint="eastAsia" w:ascii="黑体" w:hAnsi="黑体" w:eastAsia="黑体"/>
          <w:b w:val="0"/>
          <w:bCs w:val="0"/>
          <w:sz w:val="32"/>
          <w:szCs w:val="32"/>
          <w:lang w:val="en-US" w:eastAsia="zh-CN"/>
        </w:rPr>
        <w:t>4</w:t>
      </w:r>
      <w:bookmarkEnd w:id="47"/>
      <w:bookmarkEnd w:id="48"/>
    </w:p>
    <w:p>
      <w:pPr>
        <w:rPr>
          <w:rFonts w:ascii="仿宋_GB2312" w:hAnsi="宋体" w:eastAsia="仿宋_GB2312"/>
          <w:sz w:val="84"/>
          <w:szCs w:val="84"/>
        </w:rPr>
      </w:pPr>
    </w:p>
    <w:p>
      <w:pPr>
        <w:rPr>
          <w:rFonts w:ascii="仿宋_GB2312" w:hAnsi="宋体" w:eastAsia="仿宋_GB2312"/>
          <w:sz w:val="84"/>
          <w:szCs w:val="84"/>
        </w:rPr>
      </w:pPr>
    </w:p>
    <w:p>
      <w:pPr>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国家级服务业标准化试点（商贸流通专项）评估报告</w:t>
      </w:r>
    </w:p>
    <w:p>
      <w:pPr>
        <w:jc w:val="center"/>
        <w:rPr>
          <w:rFonts w:ascii="仿宋_GB2312" w:hAnsi="宋体" w:eastAsia="仿宋_GB2312"/>
          <w:sz w:val="84"/>
          <w:szCs w:val="84"/>
        </w:rPr>
      </w:pPr>
    </w:p>
    <w:p>
      <w:pPr>
        <w:jc w:val="center"/>
        <w:rPr>
          <w:rFonts w:ascii="仿宋_GB2312" w:hAnsi="宋体" w:eastAsia="仿宋_GB2312"/>
          <w:sz w:val="84"/>
          <w:szCs w:val="84"/>
        </w:rPr>
      </w:pPr>
    </w:p>
    <w:p>
      <w:pPr>
        <w:jc w:val="center"/>
        <w:rPr>
          <w:rFonts w:ascii="仿宋_GB2312" w:hAnsi="宋体" w:eastAsia="仿宋_GB2312"/>
          <w:sz w:val="84"/>
          <w:szCs w:val="84"/>
        </w:rPr>
      </w:pPr>
    </w:p>
    <w:p>
      <w:pPr>
        <w:ind w:firstLine="960" w:firstLineChars="300"/>
        <w:rPr>
          <w:rFonts w:ascii="黑体" w:hAnsi="黑体" w:eastAsia="黑体"/>
          <w:sz w:val="32"/>
          <w:u w:val="single"/>
        </w:rPr>
      </w:pPr>
      <w:r>
        <w:rPr>
          <w:rFonts w:hint="eastAsia" w:ascii="黑体" w:hAnsi="黑体" w:eastAsia="黑体"/>
          <w:bCs/>
          <w:sz w:val="32"/>
        </w:rPr>
        <w:t>试 点 单 位</w:t>
      </w:r>
      <w:r>
        <w:rPr>
          <w:rFonts w:ascii="黑体" w:hAnsi="黑体" w:eastAsia="黑体"/>
          <w:sz w:val="32"/>
          <w:u w:val="single"/>
        </w:rPr>
        <w:t xml:space="preserve">              </w:t>
      </w:r>
      <w:r>
        <w:rPr>
          <w:rFonts w:hint="eastAsia" w:ascii="黑体" w:hAnsi="黑体" w:eastAsia="黑体"/>
          <w:sz w:val="32"/>
          <w:u w:val="single"/>
        </w:rPr>
        <w:t xml:space="preserve"> </w:t>
      </w:r>
      <w:r>
        <w:rPr>
          <w:rFonts w:ascii="黑体" w:hAnsi="黑体" w:eastAsia="黑体"/>
          <w:sz w:val="32"/>
          <w:u w:val="single"/>
        </w:rPr>
        <w:t xml:space="preserve">            </w:t>
      </w:r>
    </w:p>
    <w:p>
      <w:pPr>
        <w:ind w:firstLine="960" w:firstLineChars="300"/>
        <w:rPr>
          <w:rFonts w:ascii="黑体" w:hAnsi="黑体" w:eastAsia="黑体"/>
          <w:bCs/>
          <w:sz w:val="32"/>
        </w:rPr>
      </w:pPr>
      <w:r>
        <w:rPr>
          <w:rFonts w:hint="eastAsia" w:ascii="黑体" w:hAnsi="黑体" w:eastAsia="黑体"/>
          <w:bCs/>
          <w:sz w:val="32"/>
        </w:rPr>
        <w:t>管 理 单 位</w:t>
      </w:r>
      <w:r>
        <w:rPr>
          <w:rFonts w:ascii="黑体" w:hAnsi="黑体" w:eastAsia="黑体"/>
          <w:sz w:val="32"/>
          <w:u w:val="single"/>
        </w:rPr>
        <w:t xml:space="preserve">                  </w:t>
      </w:r>
      <w:r>
        <w:rPr>
          <w:rFonts w:hint="eastAsia" w:ascii="黑体" w:hAnsi="黑体" w:eastAsia="黑体"/>
          <w:sz w:val="32"/>
          <w:u w:val="single"/>
        </w:rPr>
        <w:t xml:space="preserve"> </w:t>
      </w:r>
      <w:r>
        <w:rPr>
          <w:rFonts w:ascii="黑体" w:hAnsi="黑体" w:eastAsia="黑体"/>
          <w:sz w:val="32"/>
          <w:u w:val="single"/>
        </w:rPr>
        <w:t xml:space="preserve">        </w:t>
      </w:r>
    </w:p>
    <w:p>
      <w:pPr>
        <w:ind w:firstLine="960" w:firstLineChars="300"/>
        <w:rPr>
          <w:rFonts w:ascii="黑体" w:hAnsi="黑体" w:eastAsia="黑体"/>
          <w:sz w:val="32"/>
          <w:u w:val="single"/>
        </w:rPr>
      </w:pPr>
      <w:r>
        <w:rPr>
          <w:rFonts w:hint="eastAsia" w:ascii="黑体" w:hAnsi="黑体" w:eastAsia="黑体"/>
          <w:bCs/>
          <w:sz w:val="32"/>
        </w:rPr>
        <w:t>评 估 日 期</w:t>
      </w:r>
      <w:r>
        <w:rPr>
          <w:rFonts w:ascii="黑体" w:hAnsi="黑体" w:eastAsia="黑体"/>
          <w:sz w:val="32"/>
          <w:u w:val="single"/>
        </w:rPr>
        <w:t xml:space="preserve">               </w:t>
      </w:r>
      <w:r>
        <w:rPr>
          <w:rFonts w:hint="eastAsia" w:ascii="黑体" w:hAnsi="黑体" w:eastAsia="黑体"/>
          <w:sz w:val="32"/>
          <w:u w:val="single"/>
        </w:rPr>
        <w:t xml:space="preserve"> </w:t>
      </w:r>
      <w:r>
        <w:rPr>
          <w:rFonts w:ascii="黑体" w:hAnsi="黑体" w:eastAsia="黑体"/>
          <w:sz w:val="32"/>
          <w:u w:val="single"/>
        </w:rPr>
        <w:t xml:space="preserve">           </w:t>
      </w:r>
    </w:p>
    <w:p>
      <w:pPr>
        <w:ind w:firstLine="960" w:firstLineChars="300"/>
        <w:rPr>
          <w:rFonts w:eastAsia="华文中宋"/>
          <w:sz w:val="32"/>
          <w:u w:val="single"/>
        </w:rPr>
      </w:pPr>
    </w:p>
    <w:p>
      <w:pPr>
        <w:ind w:firstLine="960" w:firstLineChars="300"/>
        <w:rPr>
          <w:rFonts w:eastAsia="华文中宋"/>
          <w:sz w:val="32"/>
          <w:u w:val="single"/>
        </w:rPr>
      </w:pPr>
    </w:p>
    <w:p>
      <w:pPr>
        <w:ind w:firstLine="960" w:firstLineChars="300"/>
        <w:rPr>
          <w:rFonts w:eastAsia="华文中宋"/>
          <w:sz w:val="32"/>
          <w:u w:val="single"/>
        </w:rPr>
      </w:pPr>
    </w:p>
    <w:p>
      <w:pPr>
        <w:ind w:firstLine="960" w:firstLineChars="300"/>
        <w:rPr>
          <w:rFonts w:eastAsia="华文中宋"/>
          <w:sz w:val="32"/>
          <w:u w:val="single"/>
        </w:rPr>
      </w:pPr>
    </w:p>
    <w:p>
      <w:pPr>
        <w:ind w:firstLine="960" w:firstLineChars="300"/>
        <w:rPr>
          <w:rFonts w:eastAsia="华文中宋"/>
          <w:sz w:val="32"/>
          <w:u w:val="single"/>
        </w:rPr>
      </w:pPr>
    </w:p>
    <w:p>
      <w:pPr>
        <w:ind w:firstLine="960" w:firstLineChars="300"/>
        <w:rPr>
          <w:rFonts w:eastAsia="华文中宋"/>
          <w:sz w:val="32"/>
          <w:u w:val="single"/>
        </w:rPr>
      </w:pPr>
    </w:p>
    <w:p>
      <w:pPr>
        <w:ind w:firstLine="960" w:firstLineChars="300"/>
        <w:rPr>
          <w:rFonts w:eastAsia="华文中宋"/>
          <w:sz w:val="32"/>
          <w:u w:val="single"/>
        </w:rPr>
      </w:pPr>
    </w:p>
    <w:tbl>
      <w:tblPr>
        <w:tblStyle w:val="1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722"/>
        <w:gridCol w:w="599"/>
        <w:gridCol w:w="809"/>
        <w:gridCol w:w="100"/>
        <w:gridCol w:w="1108"/>
        <w:gridCol w:w="278"/>
        <w:gridCol w:w="1287"/>
        <w:gridCol w:w="329"/>
        <w:gridCol w:w="1600"/>
        <w:gridCol w:w="174"/>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20" w:lineRule="atLeast"/>
              <w:ind w:firstLine="140" w:firstLineChars="50"/>
              <w:rPr>
                <w:rFonts w:ascii="仿宋" w:hAnsi="仿宋" w:eastAsia="仿宋"/>
                <w:kern w:val="0"/>
                <w:sz w:val="28"/>
                <w:szCs w:val="28"/>
              </w:rPr>
            </w:pPr>
            <w:r>
              <w:rPr>
                <w:rFonts w:hint="eastAsia" w:ascii="仿宋" w:hAnsi="仿宋" w:eastAsia="仿宋"/>
                <w:sz w:val="28"/>
                <w:szCs w:val="28"/>
                <w:u w:val="single"/>
              </w:rPr>
              <w:br w:type="page"/>
            </w:r>
            <w:r>
              <w:rPr>
                <w:rFonts w:hint="eastAsia" w:ascii="仿宋" w:hAnsi="仿宋" w:eastAsia="仿宋"/>
                <w:kern w:val="0"/>
                <w:sz w:val="28"/>
                <w:szCs w:val="28"/>
              </w:rPr>
              <w:t>试点单位</w:t>
            </w:r>
          </w:p>
        </w:tc>
        <w:tc>
          <w:tcPr>
            <w:tcW w:w="7942" w:type="dxa"/>
            <w:gridSpan w:val="10"/>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20" w:lineRule="atLeast"/>
              <w:ind w:firstLine="140" w:firstLineChars="50"/>
              <w:jc w:val="left"/>
              <w:rPr>
                <w:rFonts w:ascii="仿宋" w:hAnsi="仿宋" w:eastAsia="仿宋"/>
                <w:kern w:val="0"/>
                <w:sz w:val="28"/>
                <w:szCs w:val="28"/>
              </w:rPr>
            </w:pPr>
            <w:r>
              <w:rPr>
                <w:rFonts w:hint="eastAsia" w:ascii="仿宋" w:hAnsi="仿宋" w:eastAsia="仿宋"/>
                <w:kern w:val="0"/>
                <w:sz w:val="28"/>
                <w:szCs w:val="28"/>
              </w:rPr>
              <w:t xml:space="preserve">地    址 </w:t>
            </w:r>
          </w:p>
        </w:tc>
        <w:tc>
          <w:tcPr>
            <w:tcW w:w="4181"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20" w:lineRule="atLeast"/>
              <w:jc w:val="left"/>
              <w:rPr>
                <w:rFonts w:ascii="仿宋" w:hAnsi="仿宋" w:eastAsia="仿宋"/>
                <w:kern w:val="0"/>
                <w:sz w:val="28"/>
                <w:szCs w:val="28"/>
              </w:rPr>
            </w:pPr>
            <w:r>
              <w:rPr>
                <w:rFonts w:hint="eastAsia" w:ascii="仿宋" w:hAnsi="仿宋" w:eastAsia="仿宋"/>
                <w:kern w:val="0"/>
                <w:sz w:val="28"/>
                <w:szCs w:val="28"/>
              </w:rPr>
              <w:t xml:space="preserve">评估时间 </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80" w:lineRule="exact"/>
              <w:jc w:val="center"/>
              <w:rPr>
                <w:rFonts w:ascii="仿宋" w:hAnsi="仿宋" w:eastAsia="仿宋"/>
                <w:kern w:val="0"/>
                <w:sz w:val="28"/>
                <w:szCs w:val="28"/>
              </w:rPr>
            </w:pPr>
            <w:r>
              <w:rPr>
                <w:rFonts w:hint="eastAsia" w:ascii="仿宋" w:hAnsi="仿宋" w:eastAsia="仿宋"/>
                <w:kern w:val="0"/>
                <w:sz w:val="28"/>
                <w:szCs w:val="28"/>
              </w:rPr>
              <w:t>法定代表人(负责人)</w:t>
            </w:r>
          </w:p>
        </w:tc>
        <w:tc>
          <w:tcPr>
            <w:tcW w:w="150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center"/>
              <w:rPr>
                <w:rFonts w:ascii="仿宋" w:hAnsi="仿宋" w:eastAsia="仿宋" w:cs="Arial"/>
                <w:kern w:val="0"/>
                <w:sz w:val="28"/>
                <w:szCs w:val="28"/>
              </w:rPr>
            </w:pPr>
          </w:p>
        </w:tc>
        <w:tc>
          <w:tcPr>
            <w:tcW w:w="1108" w:type="dxa"/>
            <w:tcBorders>
              <w:top w:val="single" w:color="auto" w:sz="4" w:space="0"/>
              <w:left w:val="single" w:color="auto" w:sz="4" w:space="0"/>
              <w:bottom w:val="single" w:color="auto" w:sz="4" w:space="0"/>
              <w:right w:val="single" w:color="auto" w:sz="4" w:space="0"/>
            </w:tcBorders>
            <w:shd w:val="clear" w:color="auto" w:fill="auto"/>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联系人</w:t>
            </w:r>
          </w:p>
        </w:tc>
        <w:tc>
          <w:tcPr>
            <w:tcW w:w="156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center"/>
              <w:rPr>
                <w:rFonts w:ascii="仿宋" w:hAnsi="仿宋" w:eastAsia="仿宋" w:cs="Arial"/>
                <w:kern w:val="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电话</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 xml:space="preserve">评  估  专  家  组  人  员  名  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tcMar>
              <w:left w:w="51" w:type="dxa"/>
              <w:right w:w="51" w:type="dxa"/>
            </w:tcMar>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专家组</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 xml:space="preserve">姓  名 </w:t>
            </w:r>
          </w:p>
        </w:tc>
        <w:tc>
          <w:tcPr>
            <w:tcW w:w="3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 xml:space="preserve">单位/职务(职称) </w:t>
            </w: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 xml:space="preserve">电   话 </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 xml:space="preserve">签   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 xml:space="preserve">组长 </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3582"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52" w:type="dxa"/>
            <w:vMerge w:val="restart"/>
            <w:tcBorders>
              <w:top w:val="single" w:color="auto" w:sz="4" w:space="0"/>
              <w:left w:val="single" w:color="auto" w:sz="4" w:space="0"/>
              <w:right w:val="single" w:color="auto" w:sz="4" w:space="0"/>
            </w:tcBorders>
            <w:shd w:val="clear" w:color="auto" w:fill="auto"/>
          </w:tcPr>
          <w:p>
            <w:pPr>
              <w:widowControl/>
              <w:spacing w:line="420" w:lineRule="atLeast"/>
              <w:ind w:firstLine="280" w:firstLineChars="100"/>
              <w:rPr>
                <w:rFonts w:ascii="仿宋" w:hAnsi="仿宋" w:eastAsia="仿宋"/>
                <w:kern w:val="0"/>
                <w:sz w:val="28"/>
                <w:szCs w:val="28"/>
              </w:rPr>
            </w:pPr>
          </w:p>
          <w:p>
            <w:pPr>
              <w:widowControl/>
              <w:spacing w:line="420" w:lineRule="atLeast"/>
              <w:ind w:firstLine="280" w:firstLineChars="100"/>
              <w:rPr>
                <w:rFonts w:ascii="仿宋" w:hAnsi="仿宋" w:eastAsia="仿宋"/>
                <w:kern w:val="0"/>
                <w:sz w:val="28"/>
                <w:szCs w:val="28"/>
              </w:rPr>
            </w:pPr>
            <w:r>
              <w:rPr>
                <w:rFonts w:hint="eastAsia" w:ascii="仿宋" w:hAnsi="仿宋" w:eastAsia="仿宋"/>
                <w:kern w:val="0"/>
                <w:sz w:val="28"/>
                <w:szCs w:val="28"/>
              </w:rPr>
              <w:t>小</w:t>
            </w:r>
          </w:p>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组</w:t>
            </w:r>
          </w:p>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成</w:t>
            </w:r>
          </w:p>
          <w:p>
            <w:pPr>
              <w:widowControl/>
              <w:spacing w:line="420" w:lineRule="atLeast"/>
              <w:jc w:val="center"/>
              <w:rPr>
                <w:rFonts w:ascii="仿宋" w:hAnsi="仿宋" w:eastAsia="仿宋"/>
                <w:kern w:val="0"/>
                <w:sz w:val="28"/>
                <w:szCs w:val="28"/>
              </w:rPr>
            </w:pPr>
            <w:r>
              <w:rPr>
                <w:rFonts w:hint="eastAsia" w:ascii="仿宋" w:hAnsi="仿宋" w:eastAsia="仿宋"/>
                <w:kern w:val="0"/>
                <w:sz w:val="28"/>
                <w:szCs w:val="28"/>
              </w:rPr>
              <w:t>员</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3582"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52" w:type="dxa"/>
            <w:vMerge w:val="continue"/>
            <w:tcBorders>
              <w:left w:val="single" w:color="auto" w:sz="4" w:space="0"/>
              <w:right w:val="single" w:color="auto" w:sz="4" w:space="0"/>
            </w:tcBorders>
            <w:vAlign w:val="center"/>
          </w:tcPr>
          <w:p>
            <w:pPr>
              <w:widowControl/>
              <w:jc w:val="left"/>
              <w:rPr>
                <w:rFonts w:ascii="仿宋" w:hAnsi="仿宋" w:eastAsia="仿宋"/>
                <w:kern w:val="0"/>
                <w:sz w:val="28"/>
                <w:szCs w:val="28"/>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3582"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r>
              <w:rPr>
                <w:rFonts w:ascii="Calibri" w:hAnsi="Calibri" w:eastAsia="仿宋" w:cs="Calibri"/>
                <w:kern w:val="0"/>
                <w:sz w:val="28"/>
                <w:szCs w:val="28"/>
              </w:rPr>
              <w:t> </w:t>
            </w: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52" w:type="dxa"/>
            <w:vMerge w:val="continue"/>
            <w:tcBorders>
              <w:left w:val="single" w:color="auto" w:sz="4" w:space="0"/>
              <w:right w:val="single" w:color="auto" w:sz="4" w:space="0"/>
            </w:tcBorders>
            <w:vAlign w:val="center"/>
          </w:tcPr>
          <w:p>
            <w:pPr>
              <w:widowControl/>
              <w:jc w:val="left"/>
              <w:rPr>
                <w:rFonts w:ascii="仿宋" w:hAnsi="仿宋" w:eastAsia="仿宋"/>
                <w:kern w:val="0"/>
                <w:sz w:val="28"/>
                <w:szCs w:val="28"/>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3582"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ind w:firstLine="140" w:firstLineChars="50"/>
              <w:jc w:val="left"/>
              <w:rPr>
                <w:rFonts w:ascii="仿宋" w:hAnsi="仿宋" w:eastAsia="仿宋" w:cs="Arial"/>
                <w:kern w:val="0"/>
                <w:sz w:val="28"/>
                <w:szCs w:val="28"/>
              </w:rPr>
            </w:pPr>
          </w:p>
        </w:tc>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52" w:type="dxa"/>
            <w:vMerge w:val="continue"/>
            <w:tcBorders>
              <w:left w:val="single" w:color="auto" w:sz="4" w:space="0"/>
              <w:right w:val="single" w:color="auto" w:sz="4" w:space="0"/>
            </w:tcBorders>
            <w:vAlign w:val="center"/>
          </w:tcPr>
          <w:p>
            <w:pPr>
              <w:widowControl/>
              <w:jc w:val="left"/>
              <w:rPr>
                <w:rFonts w:ascii="仿宋" w:hAnsi="仿宋" w:eastAsia="仿宋"/>
                <w:kern w:val="0"/>
                <w:sz w:val="28"/>
                <w:szCs w:val="28"/>
              </w:rPr>
            </w:pPr>
          </w:p>
        </w:tc>
        <w:tc>
          <w:tcPr>
            <w:tcW w:w="1321"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3582" w:type="dxa"/>
            <w:gridSpan w:val="5"/>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1929"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r>
              <w:rPr>
                <w:rFonts w:ascii="Calibri" w:hAnsi="Calibri" w:eastAsia="仿宋" w:cs="Calibri"/>
                <w:kern w:val="0"/>
                <w:sz w:val="28"/>
                <w:szCs w:val="28"/>
              </w:rPr>
              <w:t> </w:t>
            </w:r>
          </w:p>
        </w:tc>
        <w:tc>
          <w:tcPr>
            <w:tcW w:w="1832"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52" w:type="dxa"/>
            <w:vMerge w:val="continue"/>
            <w:tcBorders>
              <w:left w:val="single" w:color="auto" w:sz="4" w:space="0"/>
              <w:right w:val="single" w:color="auto" w:sz="4" w:space="0"/>
            </w:tcBorders>
            <w:vAlign w:val="center"/>
          </w:tcPr>
          <w:p>
            <w:pPr>
              <w:widowControl/>
              <w:jc w:val="left"/>
              <w:rPr>
                <w:rFonts w:ascii="仿宋" w:hAnsi="仿宋" w:eastAsia="仿宋"/>
                <w:kern w:val="0"/>
                <w:sz w:val="28"/>
                <w:szCs w:val="28"/>
              </w:rPr>
            </w:pPr>
          </w:p>
        </w:tc>
        <w:tc>
          <w:tcPr>
            <w:tcW w:w="1321"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p>
        </w:tc>
        <w:tc>
          <w:tcPr>
            <w:tcW w:w="3582" w:type="dxa"/>
            <w:gridSpan w:val="5"/>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p>
        </w:tc>
        <w:tc>
          <w:tcPr>
            <w:tcW w:w="1929"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p>
        </w:tc>
        <w:tc>
          <w:tcPr>
            <w:tcW w:w="1832"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5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 w:val="28"/>
                <w:szCs w:val="28"/>
              </w:rPr>
            </w:pPr>
          </w:p>
        </w:tc>
        <w:tc>
          <w:tcPr>
            <w:tcW w:w="1321"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p>
        </w:tc>
        <w:tc>
          <w:tcPr>
            <w:tcW w:w="3582" w:type="dxa"/>
            <w:gridSpan w:val="5"/>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p>
        </w:tc>
        <w:tc>
          <w:tcPr>
            <w:tcW w:w="1929"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kern w:val="0"/>
                <w:sz w:val="28"/>
                <w:szCs w:val="28"/>
              </w:rPr>
            </w:pPr>
          </w:p>
        </w:tc>
        <w:tc>
          <w:tcPr>
            <w:tcW w:w="1832" w:type="dxa"/>
            <w:gridSpan w:val="2"/>
            <w:tcBorders>
              <w:top w:val="single" w:color="auto" w:sz="4" w:space="0"/>
              <w:left w:val="single" w:color="auto" w:sz="4" w:space="0"/>
              <w:right w:val="single" w:color="auto" w:sz="4" w:space="0"/>
            </w:tcBorders>
            <w:shd w:val="clear" w:color="auto" w:fill="auto"/>
          </w:tcPr>
          <w:p>
            <w:pPr>
              <w:widowControl/>
              <w:spacing w:before="100" w:beforeAutospacing="1" w:after="100" w:afterAutospacing="1"/>
              <w:jc w:val="left"/>
              <w:rPr>
                <w:rFonts w:ascii="仿宋" w:hAnsi="仿宋" w:eastAsia="仿宋"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 xml:space="preserve">评估目的 </w:t>
            </w:r>
          </w:p>
        </w:tc>
        <w:tc>
          <w:tcPr>
            <w:tcW w:w="7942" w:type="dxa"/>
            <w:gridSpan w:val="10"/>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jc w:val="left"/>
              <w:rPr>
                <w:rFonts w:ascii="仿宋" w:hAnsi="仿宋" w:eastAsia="仿宋" w:cs="Arial"/>
                <w:kern w:val="0"/>
                <w:sz w:val="28"/>
                <w:szCs w:val="28"/>
              </w:rPr>
            </w:pPr>
            <w:r>
              <w:rPr>
                <w:rFonts w:ascii="Calibri" w:hAnsi="Calibri" w:eastAsia="仿宋"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6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 xml:space="preserve">评估依据 </w:t>
            </w:r>
          </w:p>
        </w:tc>
        <w:tc>
          <w:tcPr>
            <w:tcW w:w="7942" w:type="dxa"/>
            <w:gridSpan w:val="10"/>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 xml:space="preserve">评估得分 </w:t>
            </w:r>
          </w:p>
        </w:tc>
        <w:tc>
          <w:tcPr>
            <w:tcW w:w="14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基本要求</w:t>
            </w:r>
          </w:p>
        </w:tc>
        <w:tc>
          <w:tcPr>
            <w:tcW w:w="1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 xml:space="preserve">标准体系 </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实施与改进</w:t>
            </w:r>
          </w:p>
        </w:tc>
        <w:tc>
          <w:tcPr>
            <w:tcW w:w="17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绩效评估</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kern w:val="0"/>
                <w:sz w:val="28"/>
                <w:szCs w:val="28"/>
              </w:rPr>
            </w:pPr>
            <w:r>
              <w:rPr>
                <w:rFonts w:hint="eastAsia" w:ascii="仿宋" w:hAnsi="仿宋" w:eastAsia="仿宋"/>
                <w:kern w:val="0"/>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kern w:val="0"/>
                <w:sz w:val="28"/>
                <w:szCs w:val="28"/>
              </w:rPr>
            </w:pPr>
          </w:p>
        </w:tc>
        <w:tc>
          <w:tcPr>
            <w:tcW w:w="140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jc w:val="left"/>
              <w:rPr>
                <w:rFonts w:ascii="仿宋" w:hAnsi="仿宋" w:eastAsia="仿宋" w:cs="Arial"/>
                <w:kern w:val="0"/>
                <w:sz w:val="28"/>
                <w:szCs w:val="28"/>
              </w:rPr>
            </w:pPr>
            <w:r>
              <w:rPr>
                <w:rFonts w:ascii="Calibri" w:hAnsi="Calibri" w:eastAsia="仿宋" w:cs="Calibri"/>
                <w:kern w:val="0"/>
                <w:sz w:val="28"/>
                <w:szCs w:val="28"/>
              </w:rPr>
              <w:t> </w:t>
            </w:r>
          </w:p>
        </w:tc>
        <w:tc>
          <w:tcPr>
            <w:tcW w:w="1486"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jc w:val="left"/>
              <w:rPr>
                <w:rFonts w:ascii="仿宋" w:hAnsi="仿宋" w:eastAsia="仿宋" w:cs="Arial"/>
                <w:kern w:val="0"/>
                <w:sz w:val="28"/>
                <w:szCs w:val="28"/>
              </w:rPr>
            </w:pPr>
            <w:r>
              <w:rPr>
                <w:rFonts w:ascii="Calibri" w:hAnsi="Calibri" w:eastAsia="仿宋" w:cs="Calibri"/>
                <w:kern w:val="0"/>
                <w:sz w:val="28"/>
                <w:szCs w:val="28"/>
              </w:rPr>
              <w:t> </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jc w:val="left"/>
              <w:rPr>
                <w:rFonts w:ascii="仿宋" w:hAnsi="仿宋" w:eastAsia="仿宋" w:cs="Arial"/>
                <w:kern w:val="0"/>
                <w:sz w:val="28"/>
                <w:szCs w:val="28"/>
              </w:rPr>
            </w:pPr>
            <w:r>
              <w:rPr>
                <w:rFonts w:ascii="Calibri" w:hAnsi="Calibri" w:eastAsia="仿宋" w:cs="Calibri"/>
                <w:kern w:val="0"/>
                <w:sz w:val="28"/>
                <w:szCs w:val="28"/>
              </w:rPr>
              <w:t> </w:t>
            </w:r>
          </w:p>
        </w:tc>
        <w:tc>
          <w:tcPr>
            <w:tcW w:w="177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jc w:val="left"/>
              <w:rPr>
                <w:rFonts w:ascii="仿宋" w:hAnsi="仿宋" w:eastAsia="仿宋" w:cs="Arial"/>
                <w:kern w:val="0"/>
                <w:sz w:val="28"/>
                <w:szCs w:val="28"/>
              </w:rPr>
            </w:pPr>
            <w:r>
              <w:rPr>
                <w:rFonts w:ascii="Calibri" w:hAnsi="Calibri" w:eastAsia="仿宋" w:cs="Calibri"/>
                <w:kern w:val="0"/>
                <w:sz w:val="28"/>
                <w:szCs w:val="28"/>
              </w:rPr>
              <w:t> </w:t>
            </w:r>
          </w:p>
        </w:tc>
        <w:tc>
          <w:tcPr>
            <w:tcW w:w="1658" w:type="dxa"/>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320" w:lineRule="exact"/>
              <w:jc w:val="left"/>
              <w:rPr>
                <w:rFonts w:ascii="仿宋" w:hAnsi="仿宋" w:eastAsia="仿宋"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958"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jc w:val="center"/>
              <w:rPr>
                <w:rFonts w:ascii="仿宋" w:hAnsi="仿宋" w:eastAsia="仿宋"/>
                <w:kern w:val="0"/>
                <w:sz w:val="28"/>
                <w:szCs w:val="28"/>
              </w:rPr>
            </w:pPr>
            <w:r>
              <w:rPr>
                <w:rFonts w:hint="eastAsia" w:ascii="仿宋" w:hAnsi="仿宋" w:eastAsia="仿宋"/>
                <w:kern w:val="0"/>
                <w:sz w:val="28"/>
                <w:szCs w:val="28"/>
              </w:rPr>
              <w:t>扣分项</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320" w:lineRule="exact"/>
              <w:jc w:val="center"/>
              <w:rPr>
                <w:rFonts w:ascii="仿宋" w:hAnsi="仿宋" w:eastAsia="仿宋" w:cs="Arial"/>
                <w:kern w:val="0"/>
                <w:sz w:val="28"/>
                <w:szCs w:val="28"/>
              </w:rPr>
            </w:pPr>
            <w:r>
              <w:rPr>
                <w:rFonts w:hint="eastAsia" w:ascii="仿宋" w:hAnsi="仿宋" w:eastAsia="仿宋" w:cs="Arial"/>
                <w:kern w:val="0"/>
                <w:sz w:val="28"/>
                <w:szCs w:val="28"/>
              </w:rPr>
              <w:t>扣除分数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6" w:hRule="atLeast"/>
          <w:jc w:val="center"/>
        </w:trPr>
        <w:tc>
          <w:tcPr>
            <w:tcW w:w="7958" w:type="dxa"/>
            <w:gridSpan w:val="11"/>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560" w:firstLineChars="200"/>
              <w:rPr>
                <w:rFonts w:ascii="仿宋" w:hAnsi="仿宋" w:eastAsia="仿宋"/>
                <w:kern w:val="0"/>
                <w:sz w:val="28"/>
                <w:szCs w:val="28"/>
              </w:rPr>
            </w:pP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360" w:lineRule="exact"/>
              <w:rPr>
                <w:rFonts w:ascii="仿宋" w:hAnsi="仿宋" w:eastAsia="仿宋"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6" w:hRule="atLeast"/>
          <w:jc w:val="center"/>
        </w:trPr>
        <w:tc>
          <w:tcPr>
            <w:tcW w:w="9616" w:type="dxa"/>
            <w:gridSpan w:val="12"/>
            <w:tcBorders>
              <w:top w:val="single" w:color="auto" w:sz="4" w:space="0"/>
              <w:left w:val="single" w:color="auto" w:sz="4" w:space="0"/>
              <w:bottom w:val="single" w:color="auto" w:sz="4" w:space="0"/>
              <w:right w:val="single" w:color="auto" w:sz="4" w:space="0"/>
            </w:tcBorders>
            <w:vAlign w:val="center"/>
          </w:tcPr>
          <w:p>
            <w:pPr>
              <w:widowControl/>
              <w:spacing w:line="420" w:lineRule="atLeast"/>
              <w:jc w:val="left"/>
              <w:rPr>
                <w:rFonts w:ascii="仿宋" w:hAnsi="仿宋" w:eastAsia="仿宋"/>
                <w:bCs/>
                <w:kern w:val="0"/>
                <w:sz w:val="28"/>
                <w:szCs w:val="28"/>
              </w:rPr>
            </w:pPr>
            <w:r>
              <w:rPr>
                <w:rFonts w:hint="eastAsia" w:ascii="仿宋" w:hAnsi="仿宋" w:eastAsia="仿宋"/>
                <w:bCs/>
                <w:kern w:val="0"/>
                <w:sz w:val="28"/>
                <w:szCs w:val="28"/>
              </w:rPr>
              <w:t xml:space="preserve">评估综述： </w:t>
            </w:r>
          </w:p>
          <w:p>
            <w:pPr>
              <w:widowControl/>
              <w:spacing w:line="420" w:lineRule="atLeast"/>
              <w:jc w:val="left"/>
              <w:rPr>
                <w:rFonts w:ascii="仿宋" w:hAnsi="仿宋" w:eastAsia="仿宋"/>
                <w:kern w:val="0"/>
                <w:sz w:val="28"/>
                <w:szCs w:val="28"/>
              </w:rPr>
            </w:pPr>
            <w:r>
              <w:rPr>
                <w:rFonts w:ascii="Calibri" w:hAnsi="Calibri" w:eastAsia="仿宋" w:cs="Calibri"/>
                <w:b/>
                <w:kern w:val="0"/>
                <w:sz w:val="28"/>
                <w:szCs w:val="28"/>
              </w:rPr>
              <w:t> </w:t>
            </w:r>
            <w:r>
              <w:rPr>
                <w:rFonts w:hint="eastAsia" w:ascii="仿宋" w:hAnsi="仿宋" w:eastAsia="仿宋"/>
                <w:b/>
                <w:kern w:val="0"/>
                <w:sz w:val="28"/>
                <w:szCs w:val="28"/>
              </w:rPr>
              <w:t xml:space="preserve">    </w:t>
            </w: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spacing w:line="420" w:lineRule="atLeast"/>
              <w:jc w:val="left"/>
              <w:rPr>
                <w:rFonts w:ascii="仿宋" w:hAnsi="仿宋" w:eastAsia="仿宋"/>
                <w:kern w:val="0"/>
                <w:sz w:val="28"/>
                <w:szCs w:val="28"/>
              </w:rPr>
            </w:pPr>
          </w:p>
          <w:p>
            <w:pPr>
              <w:widowControl/>
              <w:ind w:firstLine="3360" w:firstLineChars="1200"/>
              <w:jc w:val="left"/>
              <w:rPr>
                <w:rFonts w:ascii="仿宋" w:hAnsi="仿宋" w:eastAsia="仿宋"/>
                <w:kern w:val="0"/>
                <w:sz w:val="28"/>
                <w:szCs w:val="28"/>
              </w:rPr>
            </w:pPr>
          </w:p>
          <w:p>
            <w:pPr>
              <w:widowControl/>
              <w:ind w:firstLine="3360" w:firstLineChars="1200"/>
              <w:jc w:val="left"/>
              <w:rPr>
                <w:rFonts w:ascii="仿宋" w:hAnsi="仿宋" w:eastAsia="仿宋"/>
                <w:kern w:val="0"/>
                <w:sz w:val="28"/>
                <w:szCs w:val="28"/>
              </w:rPr>
            </w:pPr>
          </w:p>
          <w:p>
            <w:pPr>
              <w:widowControl/>
              <w:ind w:firstLine="3360" w:firstLineChars="1200"/>
              <w:jc w:val="left"/>
              <w:rPr>
                <w:rFonts w:ascii="仿宋" w:hAnsi="仿宋" w:eastAsia="仿宋"/>
                <w:kern w:val="0"/>
                <w:sz w:val="28"/>
                <w:szCs w:val="28"/>
              </w:rPr>
            </w:pPr>
          </w:p>
          <w:p>
            <w:pPr>
              <w:widowControl/>
              <w:ind w:firstLine="3360" w:firstLineChars="1200"/>
              <w:jc w:val="left"/>
              <w:rPr>
                <w:rFonts w:ascii="仿宋" w:hAnsi="仿宋" w:eastAsia="仿宋"/>
                <w:kern w:val="0"/>
                <w:sz w:val="28"/>
                <w:szCs w:val="28"/>
              </w:rPr>
            </w:pPr>
          </w:p>
          <w:p>
            <w:pPr>
              <w:widowControl/>
              <w:jc w:val="left"/>
              <w:rPr>
                <w:rFonts w:ascii="仿宋" w:hAnsi="仿宋" w:eastAsia="仿宋"/>
                <w:kern w:val="0"/>
                <w:sz w:val="28"/>
                <w:szCs w:val="28"/>
              </w:rPr>
            </w:pPr>
          </w:p>
          <w:p>
            <w:pPr>
              <w:widowControl/>
              <w:ind w:firstLine="4480" w:firstLineChars="1600"/>
              <w:jc w:val="left"/>
              <w:rPr>
                <w:rFonts w:ascii="仿宋" w:hAnsi="仿宋" w:eastAsia="仿宋"/>
                <w:kern w:val="0"/>
                <w:sz w:val="28"/>
                <w:szCs w:val="28"/>
              </w:rPr>
            </w:pPr>
            <w:r>
              <w:rPr>
                <w:rFonts w:hint="eastAsia" w:ascii="仿宋" w:hAnsi="仿宋" w:eastAsia="仿宋"/>
                <w:kern w:val="0"/>
                <w:sz w:val="28"/>
                <w:szCs w:val="28"/>
              </w:rPr>
              <w:t xml:space="preserve">评估组长签字： </w:t>
            </w:r>
          </w:p>
          <w:p>
            <w:pPr>
              <w:widowControl/>
              <w:spacing w:before="100" w:beforeAutospacing="1" w:after="100" w:afterAutospacing="1"/>
              <w:jc w:val="left"/>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 xml:space="preserve">            </w:t>
            </w:r>
            <w:r>
              <w:rPr>
                <w:rFonts w:hint="eastAsia" w:ascii="仿宋" w:hAnsi="仿宋" w:eastAsia="仿宋"/>
                <w:kern w:val="0"/>
                <w:sz w:val="28"/>
                <w:szCs w:val="28"/>
              </w:rPr>
              <w:t>日    期:</w:t>
            </w:r>
          </w:p>
          <w:p>
            <w:pPr>
              <w:widowControl/>
              <w:jc w:val="left"/>
              <w:rPr>
                <w:rFonts w:ascii="仿宋" w:hAnsi="仿宋" w:eastAsia="仿宋"/>
                <w:b/>
                <w:kern w:val="0"/>
                <w:sz w:val="28"/>
                <w:szCs w:val="28"/>
              </w:rPr>
            </w:pPr>
            <w:r>
              <w:rPr>
                <w:rFonts w:hint="eastAsia" w:ascii="仿宋" w:hAnsi="仿宋" w:eastAsia="仿宋"/>
                <w:b/>
                <w:kern w:val="0"/>
                <w:sz w:val="28"/>
                <w:szCs w:val="28"/>
              </w:rPr>
              <w:t xml:space="preserve">                                  </w:t>
            </w:r>
          </w:p>
        </w:tc>
      </w:tr>
    </w:tbl>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方正小标宋简体" w:hAnsi="黑体" w:eastAsia="方正小标宋简体"/>
          <w:b w:val="0"/>
          <w:bCs w:val="0"/>
          <w:lang w:eastAsia="zh-CN"/>
        </w:rPr>
      </w:pPr>
      <w:bookmarkStart w:id="49" w:name="_Toc87536609"/>
      <w:bookmarkStart w:id="50" w:name="_Toc1973286645"/>
      <w:r>
        <w:rPr>
          <w:rFonts w:hint="eastAsia" w:ascii="方正小标宋简体" w:hAnsi="黑体" w:eastAsia="方正小标宋简体"/>
          <w:b w:val="0"/>
          <w:bCs w:val="0"/>
        </w:rPr>
        <w:t>试点建设</w:t>
      </w:r>
      <w:bookmarkEnd w:id="49"/>
      <w:r>
        <w:rPr>
          <w:rFonts w:hint="eastAsia" w:ascii="方正小标宋简体" w:hAnsi="黑体" w:eastAsia="方正小标宋简体"/>
          <w:b w:val="0"/>
          <w:bCs w:val="0"/>
          <w:lang w:eastAsia="zh-CN"/>
        </w:rPr>
        <w:t>指南</w:t>
      </w:r>
      <w:bookmarkEnd w:id="50"/>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sz w:val="32"/>
          <w:szCs w:val="32"/>
          <w:lang w:eastAsia="zh-CN"/>
        </w:rPr>
      </w:pPr>
      <w:bookmarkStart w:id="51" w:name="_Toc375154630"/>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试点建设工作</w:t>
      </w:r>
      <w:bookmarkEnd w:id="51"/>
    </w:p>
    <w:p>
      <w:pPr>
        <w:spacing w:line="594" w:lineRule="exact"/>
        <w:ind w:firstLine="640" w:firstLineChars="200"/>
        <w:rPr>
          <w:rFonts w:hint="eastAsia" w:ascii="黑体" w:hAnsi="黑体" w:eastAsia="黑体" w:cs="黑体"/>
          <w:sz w:val="32"/>
          <w:szCs w:val="32"/>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sz w:val="32"/>
          <w:szCs w:val="32"/>
        </w:rPr>
        <w:t>试点主要任务</w:t>
      </w:r>
    </w:p>
    <w:p>
      <w:pPr>
        <w:spacing w:line="594"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建立工作机制，提升治理水平。</w:t>
      </w:r>
      <w:r>
        <w:rPr>
          <w:rFonts w:hint="eastAsia" w:ascii="仿宋" w:hAnsi="仿宋" w:eastAsia="仿宋"/>
          <w:sz w:val="32"/>
          <w:szCs w:val="32"/>
        </w:rPr>
        <w:t>试点</w:t>
      </w:r>
      <w:r>
        <w:rPr>
          <w:rFonts w:hint="eastAsia" w:ascii="仿宋" w:hAnsi="仿宋" w:eastAsia="仿宋"/>
          <w:sz w:val="32"/>
          <w:szCs w:val="32"/>
          <w:lang w:eastAsia="zh-CN"/>
        </w:rPr>
        <w:t>单位</w:t>
      </w:r>
      <w:r>
        <w:rPr>
          <w:rFonts w:hint="eastAsia" w:ascii="仿宋" w:hAnsi="仿宋" w:eastAsia="仿宋"/>
          <w:sz w:val="32"/>
          <w:szCs w:val="32"/>
        </w:rPr>
        <w:t>要建立健全与试点方向、试点任务适配的标准化工作机制。试点城市人民政府应建立标准化工作领导小组或协调机制，对试点工作进行统一领导、统一组织，充分发挥行业协会、标准化研究机构、标准化技术委员会等有关单位技术支撑作用，将标准作为产业发展、调控市场、提供服务的重要手段。将试点工作纳入本地区重点工作或发展规划，出台支持政策。试点企业应建立标准化领导小组，形成标准化工作流程和制度，建立促进技术进步和适应市场竞争需要的内部机制，及时向商务、市场监管部门报告工作进展情况。</w:t>
      </w:r>
    </w:p>
    <w:p>
      <w:pPr>
        <w:spacing w:line="594"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完善标准体系，优化标准供给。</w:t>
      </w:r>
      <w:r>
        <w:rPr>
          <w:rFonts w:hint="eastAsia" w:ascii="仿宋" w:hAnsi="仿宋" w:eastAsia="仿宋"/>
          <w:sz w:val="32"/>
          <w:szCs w:val="32"/>
        </w:rPr>
        <w:t>试点单位要构建、完善与试点内容相适应的标准体系，结合本地实际，紧密围绕试点任务，在现有标准中选择适用标准，并及时制定地方标准、企业标准填补标准空白。内外贸一体化方向，要加强促进贸易便利化、与国际互联互通的标准制定。要加大国外先进标准采标力度，推动地方标准、企业标准与国际接轨。商贸流通提质增效方向，要紧跟商贸流通发展趋势，在完善内部标准基础上，结合自身实际，加快流通新兴领域以及新技术新业态新模式标准制定，突出绿色化、数字化、智能化改造和跨界融合。对使用过程中发现的老旧标准及时更新相关指标，使标准的先导性、引领性更加凸显。要积极参与制定国家标准、行业标准，推荐基础较好、行业急需的地方标准、企业标准上升为国家标准、行业标准。</w:t>
      </w:r>
    </w:p>
    <w:p>
      <w:pPr>
        <w:spacing w:line="594"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深化标准应用，增强实施效能。</w:t>
      </w:r>
      <w:r>
        <w:rPr>
          <w:rFonts w:hint="eastAsia" w:ascii="仿宋" w:hAnsi="仿宋" w:eastAsia="仿宋"/>
          <w:sz w:val="32"/>
          <w:szCs w:val="32"/>
        </w:rPr>
        <w:t>试点单位应积极探索适合本地区、本企业实际的标准实施手段，创新标准实施方法。内外贸一体化方向，鼓励试点单位使用国际标准并通过主要贸易伙伴标准认证，推动与主要贸易伙伴标准互认、认证检测结果互认。主动应用、宣传商务领域标准，开展重要标准外文翻译，鼓励企业在外贸、对外经济合作中使用我国标准，推动标准“走出去”。开展与国外先进标准对比分析，加快产业对标达标提标，推动商务领域标准与国外标准之间相互转换和应用。充分发挥标准在放宽市场准入、改善投资环境、扩大进出口等方面的作用，促进贸易便利化。商贸流通提质增效方向，开展标准宣贯活动，依据标准改造提升基础设施，优化管理和服务流程，构建方便、快捷、安全的流通网络，开展标准实施过程监督和标准实施效果评价，加快科技创新成果向标准的转化，充分发挥“标准化+”对新技术、新模式的催化效应，推动标准化与各类流通新业态互促互融。</w:t>
      </w:r>
    </w:p>
    <w:p>
      <w:pPr>
        <w:spacing w:line="594"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评估试点结果，及时总结经验。</w:t>
      </w:r>
      <w:r>
        <w:rPr>
          <w:rFonts w:hint="eastAsia" w:ascii="仿宋" w:hAnsi="仿宋" w:eastAsia="仿宋"/>
          <w:sz w:val="32"/>
          <w:szCs w:val="32"/>
        </w:rPr>
        <w:t>试点单位应科学评估试点对本地区、本企业试点工作成效，切实总结试点产生的经济效益、社会效益、质量效益，形成可复制可推广的经验。</w:t>
      </w:r>
    </w:p>
    <w:p>
      <w:pPr>
        <w:widowControl/>
        <w:spacing w:line="594" w:lineRule="exact"/>
        <w:ind w:firstLine="640" w:firstLineChars="200"/>
        <w:rPr>
          <w:rFonts w:ascii="黑体" w:hAnsi="黑体" w:eastAsia="黑体" w:cs="楷体_GB2312"/>
          <w:bCs/>
          <w:color w:val="000000"/>
          <w:sz w:val="32"/>
          <w:szCs w:val="32"/>
        </w:rPr>
      </w:pPr>
      <w:r>
        <w:rPr>
          <w:rFonts w:hint="eastAsia" w:ascii="黑体" w:hAnsi="黑体" w:eastAsia="黑体" w:cs="楷体_GB2312"/>
          <w:bCs/>
          <w:color w:val="000000"/>
          <w:sz w:val="32"/>
          <w:szCs w:val="32"/>
          <w:lang w:eastAsia="zh-CN"/>
        </w:rPr>
        <w:t>二</w:t>
      </w:r>
      <w:r>
        <w:rPr>
          <w:rFonts w:hint="eastAsia" w:ascii="黑体" w:hAnsi="黑体" w:eastAsia="黑体" w:cs="楷体_GB2312"/>
          <w:bCs/>
          <w:color w:val="000000"/>
          <w:sz w:val="32"/>
          <w:szCs w:val="32"/>
        </w:rPr>
        <w:t>、试点</w:t>
      </w:r>
      <w:r>
        <w:rPr>
          <w:rFonts w:hint="eastAsia" w:ascii="黑体" w:hAnsi="黑体" w:eastAsia="黑体" w:cs="楷体_GB2312"/>
          <w:bCs/>
          <w:color w:val="000000"/>
          <w:sz w:val="32"/>
          <w:szCs w:val="32"/>
          <w:lang w:eastAsia="zh-CN"/>
        </w:rPr>
        <w:t>建设</w:t>
      </w:r>
      <w:r>
        <w:rPr>
          <w:rFonts w:hint="eastAsia" w:ascii="黑体" w:hAnsi="黑体" w:eastAsia="黑体" w:cs="楷体_GB2312"/>
          <w:bCs/>
          <w:color w:val="000000"/>
          <w:sz w:val="32"/>
          <w:szCs w:val="32"/>
        </w:rPr>
        <w:t>流程</w:t>
      </w:r>
    </w:p>
    <w:p>
      <w:pPr>
        <w:widowControl/>
        <w:spacing w:line="594" w:lineRule="exact"/>
        <w:ind w:firstLine="640" w:firstLineChars="200"/>
        <w:rPr>
          <w:rFonts w:ascii="楷体" w:hAnsi="楷体" w:eastAsia="楷体" w:cs="楷体_GB2312"/>
          <w:bCs/>
          <w:color w:val="000000"/>
          <w:sz w:val="32"/>
          <w:szCs w:val="32"/>
        </w:rPr>
      </w:pPr>
      <w:r>
        <w:rPr>
          <w:rFonts w:hint="eastAsia" w:ascii="楷体" w:hAnsi="楷体" w:eastAsia="楷体" w:cs="楷体_GB2312"/>
          <w:bCs/>
          <w:color w:val="000000"/>
          <w:sz w:val="32"/>
          <w:szCs w:val="32"/>
        </w:rPr>
        <w:t>（一）宣传启动阶段（2021年</w:t>
      </w:r>
      <w:r>
        <w:rPr>
          <w:rFonts w:ascii="楷体" w:hAnsi="楷体" w:eastAsia="楷体" w:cs="楷体_GB2312"/>
          <w:bCs/>
          <w:color w:val="000000"/>
          <w:sz w:val="32"/>
          <w:szCs w:val="32"/>
        </w:rPr>
        <w:t>9</w:t>
      </w:r>
      <w:r>
        <w:rPr>
          <w:rFonts w:hint="eastAsia" w:ascii="楷体" w:hAnsi="楷体" w:eastAsia="楷体" w:cs="楷体_GB2312"/>
          <w:bCs/>
          <w:color w:val="000000"/>
          <w:sz w:val="32"/>
          <w:szCs w:val="32"/>
        </w:rPr>
        <w:t>月--2021年</w:t>
      </w:r>
      <w:r>
        <w:rPr>
          <w:rFonts w:ascii="楷体" w:hAnsi="楷体" w:eastAsia="楷体" w:cs="楷体_GB2312"/>
          <w:bCs/>
          <w:color w:val="000000"/>
          <w:sz w:val="32"/>
          <w:szCs w:val="32"/>
        </w:rPr>
        <w:t>11</w:t>
      </w:r>
      <w:r>
        <w:rPr>
          <w:rFonts w:hint="eastAsia" w:ascii="楷体" w:hAnsi="楷体" w:eastAsia="楷体" w:cs="楷体_GB2312"/>
          <w:bCs/>
          <w:color w:val="000000"/>
          <w:sz w:val="32"/>
          <w:szCs w:val="32"/>
        </w:rPr>
        <w:t>月）</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1.开展试点领域标准化现状分析和需求调研，编制试点建设工作方案。</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2.组建试点建设领导机构和工作机构，明确专（兼）职标准化工作人员及其职责和权限，召开领导小组会议，全面启动试点建设工作。试点单位可聘请相关标准化研究机构，支撑标准化试点建设工作。</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3.全员动员，召开试点启动会议。做好宣传工作，统一思想，提高全体人员的标准化意识；开展标准化业务培训，深化全体人员对标准化的理解，牢固树立标准化管理和服务理念。</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4.收集适用于本试点领域标准化建设的国家标准、行业标准、地方标准和团体标准，以及</w:t>
      </w:r>
      <w:r>
        <w:rPr>
          <w:rFonts w:hint="eastAsia" w:ascii="仿宋" w:hAnsi="仿宋" w:eastAsia="仿宋" w:cs="仿宋_GB2312"/>
          <w:color w:val="000000"/>
          <w:sz w:val="32"/>
          <w:szCs w:val="32"/>
          <w:lang w:eastAsia="zh-CN"/>
        </w:rPr>
        <w:t>与</w:t>
      </w:r>
      <w:r>
        <w:rPr>
          <w:rFonts w:hint="eastAsia" w:ascii="仿宋" w:hAnsi="仿宋" w:eastAsia="仿宋" w:cs="仿宋_GB2312"/>
          <w:color w:val="000000"/>
          <w:sz w:val="32"/>
          <w:szCs w:val="32"/>
        </w:rPr>
        <w:t>相关工作有关的法律、法规、规章、政策文件。</w:t>
      </w:r>
    </w:p>
    <w:p>
      <w:pPr>
        <w:widowControl/>
        <w:spacing w:line="594" w:lineRule="exact"/>
        <w:ind w:firstLine="640" w:firstLineChars="200"/>
        <w:rPr>
          <w:rFonts w:ascii="楷体" w:hAnsi="楷体" w:eastAsia="楷体" w:cs="楷体_GB2312"/>
          <w:bCs/>
          <w:color w:val="000000"/>
          <w:sz w:val="32"/>
          <w:szCs w:val="32"/>
        </w:rPr>
      </w:pPr>
      <w:r>
        <w:rPr>
          <w:rFonts w:hint="eastAsia" w:ascii="楷体" w:hAnsi="楷体" w:eastAsia="楷体" w:cs="楷体_GB2312"/>
          <w:bCs/>
          <w:color w:val="000000"/>
          <w:sz w:val="32"/>
          <w:szCs w:val="32"/>
        </w:rPr>
        <w:t>（二）体系建设阶段（2021年</w:t>
      </w:r>
      <w:r>
        <w:rPr>
          <w:rFonts w:ascii="楷体" w:hAnsi="楷体" w:eastAsia="楷体" w:cs="楷体_GB2312"/>
          <w:bCs/>
          <w:color w:val="000000"/>
          <w:sz w:val="32"/>
          <w:szCs w:val="32"/>
        </w:rPr>
        <w:t>12</w:t>
      </w:r>
      <w:r>
        <w:rPr>
          <w:rFonts w:hint="eastAsia" w:ascii="楷体" w:hAnsi="楷体" w:eastAsia="楷体" w:cs="楷体_GB2312"/>
          <w:bCs/>
          <w:color w:val="000000"/>
          <w:sz w:val="32"/>
          <w:szCs w:val="32"/>
        </w:rPr>
        <w:t>月--2022年6月）</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1.建立健全试点标准体系框架。</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2.对相关服务和工作环节进行梳理，提出标准制定明细表和标准统计表，力争达到标准全覆盖。</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3.编制标准。根据各自产业领域和地域性质及特点，起草相关标准，组织论证，征集意见，修改完善</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审核发布。</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4.按照结构合理、层次清楚、配套完善、简便适用的要求，处理好标准化与特色化的关系，建立包括服务基础标准、服务保障标准和服务提供标准的试点标准体系并审定发布。</w:t>
      </w:r>
    </w:p>
    <w:p>
      <w:pPr>
        <w:widowControl/>
        <w:spacing w:line="594" w:lineRule="exact"/>
        <w:ind w:firstLine="640" w:firstLineChars="200"/>
        <w:rPr>
          <w:rFonts w:ascii="楷体" w:hAnsi="楷体" w:eastAsia="楷体" w:cs="楷体_GB2312"/>
          <w:bCs/>
          <w:color w:val="000000"/>
          <w:sz w:val="32"/>
          <w:szCs w:val="32"/>
        </w:rPr>
      </w:pPr>
      <w:r>
        <w:rPr>
          <w:rFonts w:hint="eastAsia" w:ascii="楷体" w:hAnsi="楷体" w:eastAsia="楷体" w:cs="楷体_GB2312"/>
          <w:bCs/>
          <w:color w:val="000000"/>
          <w:sz w:val="32"/>
          <w:szCs w:val="32"/>
        </w:rPr>
        <w:t>（三）组织实施阶段（2022年</w:t>
      </w:r>
      <w:r>
        <w:rPr>
          <w:rFonts w:ascii="楷体" w:hAnsi="楷体" w:eastAsia="楷体" w:cs="楷体_GB2312"/>
          <w:bCs/>
          <w:color w:val="000000"/>
          <w:sz w:val="32"/>
          <w:szCs w:val="32"/>
        </w:rPr>
        <w:t>7</w:t>
      </w:r>
      <w:r>
        <w:rPr>
          <w:rFonts w:hint="eastAsia" w:ascii="楷体" w:hAnsi="楷体" w:eastAsia="楷体" w:cs="楷体_GB2312"/>
          <w:bCs/>
          <w:color w:val="000000"/>
          <w:sz w:val="32"/>
          <w:szCs w:val="32"/>
        </w:rPr>
        <w:t>月--2023年</w:t>
      </w:r>
      <w:r>
        <w:rPr>
          <w:rFonts w:ascii="楷体" w:hAnsi="楷体" w:eastAsia="楷体" w:cs="楷体_GB2312"/>
          <w:bCs/>
          <w:color w:val="000000"/>
          <w:sz w:val="32"/>
          <w:szCs w:val="32"/>
        </w:rPr>
        <w:t>1</w:t>
      </w:r>
      <w:r>
        <w:rPr>
          <w:rFonts w:hint="eastAsia" w:ascii="楷体" w:hAnsi="楷体" w:eastAsia="楷体" w:cs="楷体_GB2312"/>
          <w:bCs/>
          <w:color w:val="000000"/>
          <w:sz w:val="32"/>
          <w:szCs w:val="32"/>
        </w:rPr>
        <w:t>月）</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1.采取多种形式，对发布的标准体系进行宣传贯彻和培训，</w:t>
      </w:r>
      <w:r>
        <w:rPr>
          <w:rFonts w:hint="eastAsia" w:ascii="仿宋" w:hAnsi="仿宋" w:eastAsia="仿宋" w:cs="仿宋_GB2312"/>
          <w:color w:val="000000"/>
          <w:sz w:val="32"/>
          <w:szCs w:val="32"/>
          <w:lang w:eastAsia="zh-CN"/>
        </w:rPr>
        <w:t>督促</w:t>
      </w:r>
      <w:r>
        <w:rPr>
          <w:rFonts w:hint="eastAsia" w:ascii="仿宋" w:hAnsi="仿宋" w:eastAsia="仿宋" w:cs="仿宋_GB2312"/>
          <w:color w:val="000000"/>
          <w:sz w:val="32"/>
          <w:szCs w:val="32"/>
        </w:rPr>
        <w:t>相关部门工作人员</w:t>
      </w:r>
      <w:r>
        <w:rPr>
          <w:rFonts w:hint="eastAsia" w:ascii="仿宋" w:hAnsi="仿宋" w:eastAsia="仿宋" w:cs="仿宋_GB2312"/>
          <w:color w:val="000000"/>
          <w:sz w:val="32"/>
          <w:szCs w:val="32"/>
          <w:lang w:eastAsia="zh-CN"/>
        </w:rPr>
        <w:t>执行</w:t>
      </w:r>
      <w:r>
        <w:rPr>
          <w:rFonts w:hint="eastAsia" w:ascii="仿宋" w:hAnsi="仿宋" w:eastAsia="仿宋" w:cs="仿宋_GB2312"/>
          <w:color w:val="000000"/>
          <w:sz w:val="32"/>
          <w:szCs w:val="32"/>
        </w:rPr>
        <w:t>相关标准，</w:t>
      </w:r>
      <w:r>
        <w:rPr>
          <w:rFonts w:hint="eastAsia" w:ascii="仿宋" w:hAnsi="仿宋" w:eastAsia="仿宋" w:cs="仿宋_GB2312"/>
          <w:color w:val="000000"/>
          <w:sz w:val="32"/>
          <w:szCs w:val="32"/>
          <w:lang w:eastAsia="zh-CN"/>
        </w:rPr>
        <w:t>掌握</w:t>
      </w:r>
      <w:r>
        <w:rPr>
          <w:rFonts w:hint="eastAsia" w:ascii="仿宋" w:hAnsi="仿宋" w:eastAsia="仿宋" w:cs="仿宋_GB2312"/>
          <w:color w:val="000000"/>
          <w:sz w:val="32"/>
          <w:szCs w:val="32"/>
        </w:rPr>
        <w:t>一定的标准化知识。</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全面实施标准体系，加强标准实施管理。运用标准规范服务，依靠服务完善标准，培养良好的行为习惯，将标准化服务变为自觉行动，同时做好标准实施的相关记录；结合工作实践，针对体系中存在的问题进行调整，完善标准化体系。</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集中开展内部审核工作，对标准化实施情况进行检查、指导和督导。开通内、外部监督渠道，及时发现问题，及时修改调整；做好标准化实施情况检查记录和问题处理记录；建立标准化工作持续改进制度，充分体现标准体系的有效性，切实提高试点单位标准化</w:t>
      </w:r>
      <w:r>
        <w:rPr>
          <w:rFonts w:hint="eastAsia" w:ascii="仿宋" w:hAnsi="仿宋" w:eastAsia="仿宋" w:cs="仿宋_GB2312"/>
          <w:color w:val="000000"/>
          <w:sz w:val="32"/>
          <w:szCs w:val="32"/>
          <w:lang w:eastAsia="zh-CN"/>
        </w:rPr>
        <w:t>实施</w:t>
      </w:r>
      <w:r>
        <w:rPr>
          <w:rFonts w:hint="eastAsia" w:ascii="仿宋" w:hAnsi="仿宋" w:eastAsia="仿宋" w:cs="仿宋_GB2312"/>
          <w:color w:val="000000"/>
          <w:sz w:val="32"/>
          <w:szCs w:val="32"/>
        </w:rPr>
        <w:t>效果。</w:t>
      </w:r>
    </w:p>
    <w:p>
      <w:pPr>
        <w:widowControl/>
        <w:spacing w:line="594" w:lineRule="exact"/>
        <w:ind w:firstLine="640" w:firstLineChars="200"/>
        <w:rPr>
          <w:rFonts w:ascii="楷体" w:hAnsi="楷体" w:eastAsia="楷体" w:cs="楷体_GB2312"/>
          <w:bCs/>
          <w:color w:val="000000"/>
          <w:sz w:val="32"/>
          <w:szCs w:val="32"/>
        </w:rPr>
      </w:pPr>
      <w:r>
        <w:rPr>
          <w:rFonts w:hint="eastAsia" w:ascii="楷体" w:hAnsi="楷体" w:eastAsia="楷体" w:cs="楷体_GB2312"/>
          <w:bCs/>
          <w:color w:val="000000"/>
          <w:sz w:val="32"/>
          <w:szCs w:val="32"/>
        </w:rPr>
        <w:t>（四）总结验收阶段（20</w:t>
      </w:r>
      <w:r>
        <w:rPr>
          <w:rFonts w:ascii="楷体" w:hAnsi="楷体" w:eastAsia="楷体" w:cs="楷体_GB2312"/>
          <w:bCs/>
          <w:color w:val="000000"/>
          <w:sz w:val="32"/>
          <w:szCs w:val="32"/>
        </w:rPr>
        <w:t>23</w:t>
      </w:r>
      <w:r>
        <w:rPr>
          <w:rFonts w:hint="eastAsia" w:ascii="楷体" w:hAnsi="楷体" w:eastAsia="楷体" w:cs="楷体_GB2312"/>
          <w:bCs/>
          <w:color w:val="000000"/>
          <w:sz w:val="32"/>
          <w:szCs w:val="32"/>
        </w:rPr>
        <w:t>年</w:t>
      </w:r>
      <w:r>
        <w:rPr>
          <w:rFonts w:ascii="楷体" w:hAnsi="楷体" w:eastAsia="楷体" w:cs="楷体_GB2312"/>
          <w:bCs/>
          <w:color w:val="000000"/>
          <w:sz w:val="32"/>
          <w:szCs w:val="32"/>
        </w:rPr>
        <w:t>2</w:t>
      </w:r>
      <w:r>
        <w:rPr>
          <w:rFonts w:hint="eastAsia" w:ascii="楷体" w:hAnsi="楷体" w:eastAsia="楷体" w:cs="楷体_GB2312"/>
          <w:bCs/>
          <w:color w:val="000000"/>
          <w:sz w:val="32"/>
          <w:szCs w:val="32"/>
        </w:rPr>
        <w:t>月--20</w:t>
      </w:r>
      <w:r>
        <w:rPr>
          <w:rFonts w:ascii="楷体" w:hAnsi="楷体" w:eastAsia="楷体" w:cs="楷体_GB2312"/>
          <w:bCs/>
          <w:color w:val="000000"/>
          <w:sz w:val="32"/>
          <w:szCs w:val="32"/>
        </w:rPr>
        <w:t>23</w:t>
      </w:r>
      <w:r>
        <w:rPr>
          <w:rFonts w:hint="eastAsia" w:ascii="楷体" w:hAnsi="楷体" w:eastAsia="楷体" w:cs="楷体_GB2312"/>
          <w:bCs/>
          <w:color w:val="000000"/>
          <w:sz w:val="32"/>
          <w:szCs w:val="32"/>
        </w:rPr>
        <w:t>年</w:t>
      </w:r>
      <w:r>
        <w:rPr>
          <w:rFonts w:ascii="楷体" w:hAnsi="楷体" w:eastAsia="楷体" w:cs="楷体_GB2312"/>
          <w:bCs/>
          <w:color w:val="000000"/>
          <w:sz w:val="32"/>
          <w:szCs w:val="32"/>
        </w:rPr>
        <w:t>8</w:t>
      </w:r>
      <w:r>
        <w:rPr>
          <w:rFonts w:hint="eastAsia" w:ascii="楷体" w:hAnsi="楷体" w:eastAsia="楷体" w:cs="楷体_GB2312"/>
          <w:bCs/>
          <w:color w:val="000000"/>
          <w:sz w:val="32"/>
          <w:szCs w:val="32"/>
        </w:rPr>
        <w:t>月）</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1.对标准化实施情况进行全面总结，确认成功经验和做法，查找和分析问题与不足，提出改进措施。</w:t>
      </w:r>
    </w:p>
    <w:p>
      <w:pPr>
        <w:widowControl/>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2.由领导小组办公室组织对各部门标准化实施情况进行逐一检查初验，初验达标后，收集整理所有确认材料，按照先后顺序汇编成册，提请正式验收。</w:t>
      </w:r>
    </w:p>
    <w:p>
      <w:pPr>
        <w:widowControl/>
        <w:spacing w:line="594" w:lineRule="exact"/>
        <w:ind w:firstLine="640" w:firstLineChars="200"/>
        <w:rPr>
          <w:rFonts w:hint="eastAsia" w:ascii="仿宋" w:hAnsi="仿宋" w:eastAsia="仿宋" w:cs="仿宋_GB2312"/>
          <w:color w:val="000000"/>
          <w:sz w:val="32"/>
          <w:szCs w:val="32"/>
        </w:rPr>
        <w:sectPr>
          <w:pgSz w:w="11906" w:h="16838"/>
          <w:pgMar w:top="1440" w:right="1800" w:bottom="1440" w:left="1800" w:header="851" w:footer="992" w:gutter="0"/>
          <w:pgNumType w:fmt="decimal"/>
          <w:cols w:space="425" w:num="1"/>
          <w:docGrid w:type="lines" w:linePitch="435" w:charSpace="0"/>
        </w:sectPr>
      </w:pPr>
      <w:r>
        <w:rPr>
          <w:rFonts w:hint="eastAsia" w:ascii="仿宋" w:hAnsi="仿宋" w:eastAsia="仿宋" w:cs="仿宋_GB2312"/>
          <w:color w:val="000000"/>
          <w:sz w:val="32"/>
          <w:szCs w:val="32"/>
        </w:rPr>
        <w:t>3.创建试点单位服务标准品牌，积极开展“标准提升服务质量行动”，以标准化、规范化管理为手段，以提高服务质量和水平为目的，争创本行业服务品牌，并在所属产业领域和行政区域推广应用。</w:t>
      </w:r>
    </w:p>
    <w:p>
      <w:pPr>
        <w:jc w:val="center"/>
        <w:rPr>
          <w:rFonts w:ascii="等线" w:hAnsi="等线" w:eastAsia="方正仿宋简体" w:cs="Times New Roman"/>
          <w:sz w:val="32"/>
          <w:szCs w:val="21"/>
        </w:rPr>
      </w:pPr>
      <w:r>
        <w:rPr>
          <w:rFonts w:hint="eastAsia" w:ascii="黑体" w:hAnsi="黑体" w:eastAsia="黑体" w:cs="楷体_GB2312"/>
          <w:bCs/>
          <w:color w:val="000000"/>
          <w:sz w:val="32"/>
          <w:szCs w:val="32"/>
        </w:rPr>
        <w:t>标准化试点工作流程图</w:t>
      </w:r>
    </w:p>
    <w:p>
      <w:pPr>
        <w:jc w:val="left"/>
        <w:rPr>
          <w:rFonts w:ascii="等线" w:hAnsi="等线" w:eastAsia="方正仿宋简体" w:cs="Times New Roman"/>
          <w:sz w:val="32"/>
          <w:szCs w:val="21"/>
        </w:rPr>
      </w:pPr>
      <w:r>
        <mc:AlternateContent>
          <mc:Choice Requires="wpg">
            <w:drawing>
              <wp:anchor distT="0" distB="0" distL="114300" distR="114300" simplePos="0" relativeHeight="251717632" behindDoc="0" locked="0" layoutInCell="1" allowOverlap="1">
                <wp:simplePos x="0" y="0"/>
                <wp:positionH relativeFrom="column">
                  <wp:posOffset>-38100</wp:posOffset>
                </wp:positionH>
                <wp:positionV relativeFrom="paragraph">
                  <wp:posOffset>41275</wp:posOffset>
                </wp:positionV>
                <wp:extent cx="9531350" cy="9378315"/>
                <wp:effectExtent l="0" t="10795" r="12700" b="0"/>
                <wp:wrapNone/>
                <wp:docPr id="133" name="组合 3"/>
                <wp:cNvGraphicFramePr/>
                <a:graphic xmlns:a="http://schemas.openxmlformats.org/drawingml/2006/main">
                  <a:graphicData uri="http://schemas.microsoft.com/office/word/2010/wordprocessingGroup">
                    <wpg:wgp>
                      <wpg:cNvGrpSpPr/>
                      <wpg:grpSpPr>
                        <a:xfrm>
                          <a:off x="0" y="0"/>
                          <a:ext cx="9531350" cy="9378315"/>
                          <a:chOff x="0" y="0"/>
                          <a:chExt cx="9327515" cy="9378884"/>
                        </a:xfrm>
                      </wpg:grpSpPr>
                      <wps:wsp>
                        <wps:cNvPr id="65" name="右箭头标注 15"/>
                        <wps:cNvSpPr>
                          <a:spLocks noChangeArrowheads="1"/>
                        </wps:cNvSpPr>
                        <wps:spPr bwMode="auto">
                          <a:xfrm>
                            <a:off x="18256" y="0"/>
                            <a:ext cx="7974632" cy="5760640"/>
                          </a:xfrm>
                          <a:prstGeom prst="rightArrowCallout">
                            <a:avLst>
                              <a:gd name="adj1" fmla="val 40861"/>
                              <a:gd name="adj2" fmla="val 27106"/>
                              <a:gd name="adj3" fmla="val 16067"/>
                              <a:gd name="adj4" fmla="val 86111"/>
                            </a:avLst>
                          </a:prstGeom>
                          <a:noFill/>
                          <a:ln w="22225" cap="flat" cmpd="sng" algn="ctr">
                            <a:solidFill>
                              <a:srgbClr val="0070C0"/>
                            </a:solidFill>
                            <a:prstDash val="solid"/>
                            <a:miter lim="800000"/>
                          </a:ln>
                        </wps:spPr>
                        <wps:bodyPr rot="0" vert="horz" wrap="square" lIns="91440" tIns="45720" rIns="91440" bIns="45720" anchor="ctr" anchorCtr="0" upright="1">
                          <a:noAutofit/>
                        </wps:bodyPr>
                      </wps:wsp>
                      <wps:wsp>
                        <wps:cNvPr id="66" name="圆角矩形 16"/>
                        <wps:cNvSpPr>
                          <a:spLocks noChangeArrowheads="1"/>
                        </wps:cNvSpPr>
                        <wps:spPr bwMode="auto">
                          <a:xfrm>
                            <a:off x="7416800" y="575945"/>
                            <a:ext cx="1910715" cy="4896485"/>
                          </a:xfrm>
                          <a:prstGeom prst="roundRect">
                            <a:avLst>
                              <a:gd name="adj" fmla="val 16667"/>
                            </a:avLst>
                          </a:prstGeom>
                          <a:solidFill>
                            <a:srgbClr val="99FFCC"/>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67" name="矩形 21585"/>
                        <wps:cNvSpPr>
                          <a:spLocks noChangeArrowheads="1"/>
                        </wps:cNvSpPr>
                        <wps:spPr bwMode="auto">
                          <a:xfrm>
                            <a:off x="1010778" y="216024"/>
                            <a:ext cx="5613957" cy="914400"/>
                          </a:xfrm>
                          <a:prstGeom prst="rect">
                            <a:avLst/>
                          </a:prstGeom>
                          <a:noFill/>
                          <a:ln w="19050" cap="flat" cmpd="sng" algn="ctr">
                            <a:solidFill>
                              <a:srgbClr val="0070C0"/>
                            </a:solidFill>
                            <a:prstDash val="dashDot"/>
                            <a:miter lim="800000"/>
                          </a:ln>
                        </wps:spPr>
                        <wps:bodyPr rot="0" vert="horz" wrap="square" lIns="91440" tIns="45720" rIns="91440" bIns="45720" anchor="ctr" anchorCtr="0" upright="1">
                          <a:noAutofit/>
                        </wps:bodyPr>
                      </wps:wsp>
                      <wps:wsp>
                        <wps:cNvPr id="68" name="矩形 21586"/>
                        <wps:cNvSpPr>
                          <a:spLocks noChangeArrowheads="1"/>
                        </wps:cNvSpPr>
                        <wps:spPr bwMode="auto">
                          <a:xfrm>
                            <a:off x="1080120" y="432048"/>
                            <a:ext cx="864096" cy="432048"/>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69" name="TextBox 7"/>
                        <wps:cNvSpPr txBox="1">
                          <a:spLocks noChangeArrowheads="1"/>
                        </wps:cNvSpPr>
                        <wps:spPr bwMode="auto">
                          <a:xfrm>
                            <a:off x="1029693" y="482629"/>
                            <a:ext cx="1077542"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编制试点建设</w:t>
                              </w:r>
                            </w:p>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工作方案</w:t>
                              </w:r>
                            </w:p>
                          </w:txbxContent>
                        </wps:txbx>
                        <wps:bodyPr rot="0" vert="horz" wrap="square" lIns="91440" tIns="45720" rIns="91440" bIns="45720" anchor="t" anchorCtr="0" upright="1">
                          <a:noAutofit/>
                        </wps:bodyPr>
                      </wps:wsp>
                      <wps:wsp>
                        <wps:cNvPr id="70" name="矩形 21588"/>
                        <wps:cNvSpPr>
                          <a:spLocks noChangeArrowheads="1"/>
                        </wps:cNvSpPr>
                        <wps:spPr bwMode="auto">
                          <a:xfrm>
                            <a:off x="2269426" y="431826"/>
                            <a:ext cx="778639"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71" name="矩形 21589"/>
                        <wps:cNvSpPr>
                          <a:spLocks noChangeArrowheads="1"/>
                        </wps:cNvSpPr>
                        <wps:spPr bwMode="auto">
                          <a:xfrm>
                            <a:off x="3346968" y="431826"/>
                            <a:ext cx="778639"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72" name="TextBox 12"/>
                        <wps:cNvSpPr txBox="1">
                          <a:spLocks noChangeArrowheads="1"/>
                        </wps:cNvSpPr>
                        <wps:spPr bwMode="auto">
                          <a:xfrm>
                            <a:off x="2189263" y="419125"/>
                            <a:ext cx="879931" cy="472469"/>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组建试点建设领导机构和工作机构</w:t>
                              </w:r>
                            </w:p>
                          </w:txbxContent>
                        </wps:txbx>
                        <wps:bodyPr rot="0" vert="horz" wrap="square" lIns="91440" tIns="45720" rIns="91440" bIns="45720" anchor="t" anchorCtr="0" upright="1">
                          <a:noAutofit/>
                        </wps:bodyPr>
                      </wps:wsp>
                      <wps:wsp>
                        <wps:cNvPr id="73" name="TextBox 13"/>
                        <wps:cNvSpPr txBox="1">
                          <a:spLocks noChangeArrowheads="1"/>
                        </wps:cNvSpPr>
                        <wps:spPr bwMode="auto">
                          <a:xfrm>
                            <a:off x="3272398" y="412775"/>
                            <a:ext cx="923430" cy="472469"/>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召开试点启动会议，开展宣传动员</w:t>
                              </w:r>
                            </w:p>
                          </w:txbxContent>
                        </wps:txbx>
                        <wps:bodyPr rot="0" vert="horz" wrap="square" lIns="91440" tIns="45720" rIns="91440" bIns="45720" anchor="t" anchorCtr="0" upright="1">
                          <a:noAutofit/>
                        </wps:bodyPr>
                      </wps:wsp>
                      <wpg:grpSp>
                        <wpg:cNvPr id="134" name="组合 21592"/>
                        <wpg:cNvGrpSpPr/>
                        <wpg:grpSpPr>
                          <a:xfrm>
                            <a:off x="5628991" y="432048"/>
                            <a:ext cx="864395" cy="432048"/>
                            <a:chOff x="5624737" y="432048"/>
                            <a:chExt cx="933547" cy="432048"/>
                          </a:xfrm>
                        </wpg:grpSpPr>
                        <wps:wsp>
                          <wps:cNvPr id="75" name="矩形 21593"/>
                          <wps:cNvSpPr>
                            <a:spLocks noChangeArrowheads="1"/>
                          </wps:cNvSpPr>
                          <wps:spPr bwMode="auto">
                            <a:xfrm>
                              <a:off x="5682158" y="432048"/>
                              <a:ext cx="841043" cy="432048"/>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76" name="TextBox 14"/>
                          <wps:cNvSpPr txBox="1">
                            <a:spLocks noChangeArrowheads="1"/>
                          </wps:cNvSpPr>
                          <wps:spPr bwMode="auto">
                            <a:xfrm>
                              <a:off x="5624737" y="447924"/>
                              <a:ext cx="933547"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开展标准化培训</w:t>
                                </w:r>
                              </w:p>
                            </w:txbxContent>
                          </wps:txbx>
                          <wps:bodyPr rot="0" vert="horz" wrap="square" lIns="91440" tIns="45720" rIns="91440" bIns="45720" anchor="t" anchorCtr="0" upright="1">
                            <a:noAutofit/>
                          </wps:bodyPr>
                        </wps:wsp>
                      </wpg:grpSp>
                      <wpg:grpSp>
                        <wpg:cNvPr id="135" name="组合 21595"/>
                        <wpg:cNvGrpSpPr/>
                        <wpg:grpSpPr>
                          <a:xfrm>
                            <a:off x="4469318" y="428117"/>
                            <a:ext cx="1221105" cy="435535"/>
                            <a:chOff x="4469321" y="428117"/>
                            <a:chExt cx="1318794" cy="435535"/>
                          </a:xfrm>
                        </wpg:grpSpPr>
                        <wps:wsp>
                          <wps:cNvPr id="78" name="矩形 21596"/>
                          <wps:cNvSpPr>
                            <a:spLocks noChangeArrowheads="1"/>
                          </wps:cNvSpPr>
                          <wps:spPr bwMode="auto">
                            <a:xfrm>
                              <a:off x="4496767" y="431826"/>
                              <a:ext cx="930192"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79" name="TextBox 18"/>
                          <wps:cNvSpPr txBox="1">
                            <a:spLocks noChangeArrowheads="1"/>
                          </wps:cNvSpPr>
                          <wps:spPr bwMode="auto">
                            <a:xfrm>
                              <a:off x="4469321" y="428117"/>
                              <a:ext cx="1318794"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制定发布标准</w:t>
                                </w:r>
                              </w:p>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化</w:t>
                                </w:r>
                                <w:r>
                                  <w:rPr>
                                    <w:rFonts w:ascii="黑体" w:hAnsi="黑体" w:eastAsia="黑体"/>
                                    <w:color w:val="000000"/>
                                    <w:kern w:val="24"/>
                                    <w:sz w:val="20"/>
                                    <w:szCs w:val="20"/>
                                  </w:rPr>
                                  <w:t>工作</w:t>
                                </w:r>
                                <w:r>
                                  <w:rPr>
                                    <w:rFonts w:hint="eastAsia" w:ascii="黑体" w:hAnsi="黑体" w:eastAsia="黑体"/>
                                    <w:color w:val="000000"/>
                                    <w:kern w:val="24"/>
                                    <w:sz w:val="20"/>
                                    <w:szCs w:val="20"/>
                                  </w:rPr>
                                  <w:t>规划</w:t>
                                </w:r>
                              </w:p>
                            </w:txbxContent>
                          </wps:txbx>
                          <wps:bodyPr rot="0" vert="horz" wrap="square" lIns="91440" tIns="45720" rIns="91440" bIns="45720" anchor="t" anchorCtr="0" upright="1">
                            <a:noAutofit/>
                          </wps:bodyPr>
                        </wps:wsp>
                      </wpg:grpSp>
                      <wps:wsp>
                        <wps:cNvPr id="80" name="右箭头 88"/>
                        <wps:cNvSpPr>
                          <a:spLocks noChangeArrowheads="1"/>
                        </wps:cNvSpPr>
                        <wps:spPr bwMode="auto">
                          <a:xfrm>
                            <a:off x="4290905" y="4824388"/>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81" name="圆角矩形 89"/>
                        <wps:cNvSpPr>
                          <a:spLocks noChangeArrowheads="1"/>
                        </wps:cNvSpPr>
                        <wps:spPr bwMode="auto">
                          <a:xfrm>
                            <a:off x="2520480" y="71759"/>
                            <a:ext cx="1860532" cy="288307"/>
                          </a:xfrm>
                          <a:prstGeom prst="roundRect">
                            <a:avLst>
                              <a:gd name="adj" fmla="val 16667"/>
                            </a:avLst>
                          </a:prstGeom>
                          <a:solidFill>
                            <a:schemeClr val="accent4">
                              <a:lumMod val="60000"/>
                              <a:lumOff val="40000"/>
                            </a:schemeClr>
                          </a:solidFill>
                          <a:ln w="12700" cap="flat" cmpd="sng" algn="ctr">
                            <a:solidFill>
                              <a:srgbClr val="FFFFFF"/>
                            </a:solidFill>
                            <a:prstDash val="solid"/>
                            <a:miter lim="800000"/>
                          </a:ln>
                        </wps:spPr>
                        <wps:bodyPr rot="0" vert="horz" wrap="square" lIns="91440" tIns="45720" rIns="91440" bIns="45720" anchor="ctr" anchorCtr="0" upright="1">
                          <a:noAutofit/>
                        </wps:bodyPr>
                      </wps:wsp>
                      <wps:wsp>
                        <wps:cNvPr id="82" name="TextBox 24"/>
                        <wps:cNvSpPr txBox="1">
                          <a:spLocks noChangeArrowheads="1"/>
                        </wps:cNvSpPr>
                        <wps:spPr bwMode="auto">
                          <a:xfrm>
                            <a:off x="2592288" y="71995"/>
                            <a:ext cx="2880360" cy="367665"/>
                          </a:xfrm>
                          <a:prstGeom prst="rect">
                            <a:avLst/>
                          </a:prstGeom>
                          <a:noFill/>
                          <a:ln>
                            <a:noFill/>
                          </a:ln>
                        </wps:spPr>
                        <wps:txbx>
                          <w:txbxContent>
                            <w:p>
                              <w:pPr>
                                <w:rPr>
                                  <w:rFonts w:ascii="黑体" w:hAnsi="黑体" w:eastAsia="黑体"/>
                                  <w:b/>
                                  <w:bCs/>
                                  <w:color w:val="000000"/>
                                  <w:kern w:val="24"/>
                                  <w:sz w:val="22"/>
                                </w:rPr>
                              </w:pPr>
                              <w:r>
                                <w:rPr>
                                  <w:rFonts w:hint="eastAsia" w:ascii="黑体" w:hAnsi="黑体" w:eastAsia="黑体"/>
                                  <w:b/>
                                  <w:bCs/>
                                  <w:color w:val="000000"/>
                                  <w:kern w:val="24"/>
                                  <w:sz w:val="22"/>
                                </w:rPr>
                                <w:t>任务一：宣传启动阶段</w:t>
                              </w:r>
                            </w:p>
                          </w:txbxContent>
                        </wps:txbx>
                        <wps:bodyPr rot="0" vert="horz" wrap="square" lIns="91440" tIns="45720" rIns="91440" bIns="45720" anchor="t" anchorCtr="0" upright="1">
                          <a:noAutofit/>
                        </wps:bodyPr>
                      </wps:wsp>
                      <wps:wsp>
                        <wps:cNvPr id="83" name="TextBox 25"/>
                        <wps:cNvSpPr txBox="1">
                          <a:spLocks noChangeArrowheads="1"/>
                        </wps:cNvSpPr>
                        <wps:spPr bwMode="auto">
                          <a:xfrm>
                            <a:off x="72085" y="100336"/>
                            <a:ext cx="1008565" cy="1196413"/>
                          </a:xfrm>
                          <a:prstGeom prst="rect">
                            <a:avLst/>
                          </a:prstGeom>
                          <a:noFill/>
                          <a:ln>
                            <a:noFill/>
                          </a:ln>
                        </wps:spPr>
                        <wps:txbx>
                          <w:txbxContent>
                            <w:p>
                              <w:pPr>
                                <w:rPr>
                                  <w:rFonts w:hint="eastAsia" w:ascii="黑体" w:hAnsi="黑体" w:eastAsia="黑体"/>
                                  <w:b/>
                                  <w:bCs/>
                                  <w:color w:val="7030A0"/>
                                  <w:spacing w:val="10"/>
                                  <w:kern w:val="24"/>
                                  <w:sz w:val="48"/>
                                  <w:szCs w:val="48"/>
                                </w:rPr>
                              </w:pPr>
                              <w:r>
                                <w:rPr>
                                  <w:rFonts w:hint="eastAsia" w:ascii="黑体" w:hAnsi="黑体" w:eastAsia="黑体"/>
                                  <w:b/>
                                  <w:bCs/>
                                  <w:color w:val="7030A0"/>
                                  <w:spacing w:val="10"/>
                                  <w:kern w:val="24"/>
                                  <w:sz w:val="48"/>
                                  <w:szCs w:val="48"/>
                                </w:rPr>
                                <w:t>宣传启</w:t>
                              </w:r>
                              <w:r>
                                <w:rPr>
                                  <w:rFonts w:hint="eastAsia" w:ascii="黑体" w:hAnsi="黑体" w:eastAsia="黑体"/>
                                  <w:b/>
                                  <w:bCs/>
                                  <w:color w:val="7030A0"/>
                                  <w:spacing w:val="10"/>
                                  <w:kern w:val="24"/>
                                  <w:sz w:val="48"/>
                                  <w:szCs w:val="48"/>
                                  <w:lang w:val="en-US" w:eastAsia="zh-CN"/>
                                </w:rPr>
                                <w:t xml:space="preserve"> </w:t>
                              </w:r>
                              <w:r>
                                <w:rPr>
                                  <w:rFonts w:hint="eastAsia" w:ascii="黑体" w:hAnsi="黑体" w:eastAsia="黑体"/>
                                  <w:b/>
                                  <w:bCs/>
                                  <w:color w:val="7030A0"/>
                                  <w:spacing w:val="10"/>
                                  <w:kern w:val="24"/>
                                  <w:sz w:val="48"/>
                                  <w:szCs w:val="48"/>
                                </w:rPr>
                                <w:t>动</w:t>
                              </w:r>
                            </w:p>
                          </w:txbxContent>
                        </wps:txbx>
                        <wps:bodyPr rot="0" vert="horz" wrap="square" lIns="91440" tIns="45720" rIns="91440" bIns="45720" anchor="t" anchorCtr="0" upright="1">
                          <a:noAutofit/>
                        </wps:bodyPr>
                      </wps:wsp>
                      <wps:wsp>
                        <wps:cNvPr id="84" name="矩形 21602"/>
                        <wps:cNvSpPr>
                          <a:spLocks noChangeArrowheads="1"/>
                        </wps:cNvSpPr>
                        <wps:spPr bwMode="auto">
                          <a:xfrm>
                            <a:off x="1008112" y="1800200"/>
                            <a:ext cx="5616624" cy="2088232"/>
                          </a:xfrm>
                          <a:prstGeom prst="rect">
                            <a:avLst/>
                          </a:prstGeom>
                          <a:noFill/>
                          <a:ln w="19050" cap="flat" cmpd="sng" algn="ctr">
                            <a:solidFill>
                              <a:srgbClr val="0070C0"/>
                            </a:solidFill>
                            <a:prstDash val="dashDot"/>
                            <a:miter lim="800000"/>
                          </a:ln>
                        </wps:spPr>
                        <wps:bodyPr rot="0" vert="horz" wrap="square" lIns="91440" tIns="45720" rIns="91440" bIns="45720" anchor="ctr" anchorCtr="0" upright="1">
                          <a:noAutofit/>
                        </wps:bodyPr>
                      </wps:wsp>
                      <wps:wsp>
                        <wps:cNvPr id="85" name="矩形 21603"/>
                        <wps:cNvSpPr>
                          <a:spLocks noChangeArrowheads="1"/>
                        </wps:cNvSpPr>
                        <wps:spPr bwMode="auto">
                          <a:xfrm>
                            <a:off x="1152128" y="2088232"/>
                            <a:ext cx="2376264" cy="1440160"/>
                          </a:xfrm>
                          <a:prstGeom prst="rect">
                            <a:avLst/>
                          </a:prstGeom>
                          <a:noFill/>
                          <a:ln w="15875" cap="flat" cmpd="sng" algn="ctr">
                            <a:solidFill>
                              <a:srgbClr val="0070C0"/>
                            </a:solidFill>
                            <a:prstDash val="dash"/>
                            <a:miter lim="800000"/>
                          </a:ln>
                        </wps:spPr>
                        <wps:bodyPr rot="0" vert="horz" wrap="square" lIns="91440" tIns="45720" rIns="91440" bIns="45720" anchor="ctr" anchorCtr="0" upright="1">
                          <a:noAutofit/>
                        </wps:bodyPr>
                      </wps:wsp>
                      <wps:wsp>
                        <wps:cNvPr id="86" name="矩形 21604"/>
                        <wps:cNvSpPr>
                          <a:spLocks noChangeArrowheads="1"/>
                        </wps:cNvSpPr>
                        <wps:spPr bwMode="auto">
                          <a:xfrm>
                            <a:off x="3888432" y="2088232"/>
                            <a:ext cx="2448272" cy="1440160"/>
                          </a:xfrm>
                          <a:prstGeom prst="rect">
                            <a:avLst/>
                          </a:prstGeom>
                          <a:noFill/>
                          <a:ln w="15875" cap="flat" cmpd="sng" algn="ctr">
                            <a:solidFill>
                              <a:srgbClr val="0070C0"/>
                            </a:solidFill>
                            <a:prstDash val="dash"/>
                            <a:miter lim="800000"/>
                          </a:ln>
                        </wps:spPr>
                        <wps:bodyPr rot="0" vert="horz" wrap="square" lIns="91440" tIns="45720" rIns="91440" bIns="45720" anchor="ctr" anchorCtr="0" upright="1">
                          <a:noAutofit/>
                        </wps:bodyPr>
                      </wps:wsp>
                      <wps:wsp>
                        <wps:cNvPr id="87" name="圆角矩形 95"/>
                        <wps:cNvSpPr>
                          <a:spLocks noChangeArrowheads="1"/>
                        </wps:cNvSpPr>
                        <wps:spPr bwMode="auto">
                          <a:xfrm>
                            <a:off x="1296144" y="1944216"/>
                            <a:ext cx="2016224" cy="360040"/>
                          </a:xfrm>
                          <a:prstGeom prst="roundRect">
                            <a:avLst>
                              <a:gd name="adj" fmla="val 16667"/>
                            </a:avLst>
                          </a:prstGeom>
                          <a:solidFill>
                            <a:srgbClr val="FF99FF"/>
                          </a:solidFill>
                          <a:ln w="12700" cap="flat" cmpd="sng" algn="ctr">
                            <a:solidFill>
                              <a:srgbClr val="FFFFFF"/>
                            </a:solidFill>
                            <a:prstDash val="solid"/>
                            <a:miter lim="800000"/>
                          </a:ln>
                        </wps:spPr>
                        <wps:bodyPr rot="0" vert="horz" wrap="square" lIns="91440" tIns="45720" rIns="91440" bIns="45720" anchor="ctr" anchorCtr="0" upright="1">
                          <a:noAutofit/>
                        </wps:bodyPr>
                      </wps:wsp>
                      <wps:wsp>
                        <wps:cNvPr id="88" name="TextBox 30"/>
                        <wps:cNvSpPr txBox="1">
                          <a:spLocks noChangeArrowheads="1"/>
                        </wps:cNvSpPr>
                        <wps:spPr bwMode="auto">
                          <a:xfrm>
                            <a:off x="1408410" y="1943748"/>
                            <a:ext cx="1976120" cy="367665"/>
                          </a:xfrm>
                          <a:prstGeom prst="rect">
                            <a:avLst/>
                          </a:prstGeom>
                          <a:noFill/>
                          <a:ln>
                            <a:noFill/>
                          </a:ln>
                        </wps:spPr>
                        <wps:txbx>
                          <w:txbxContent>
                            <w:p>
                              <w:pPr>
                                <w:rPr>
                                  <w:rFonts w:ascii="黑体" w:hAnsi="黑体" w:eastAsia="黑体"/>
                                  <w:b/>
                                  <w:bCs/>
                                  <w:color w:val="000000"/>
                                  <w:kern w:val="24"/>
                                  <w:sz w:val="22"/>
                                </w:rPr>
                              </w:pPr>
                              <w:r>
                                <w:rPr>
                                  <w:rFonts w:hint="eastAsia" w:ascii="黑体" w:hAnsi="黑体" w:eastAsia="黑体"/>
                                  <w:b/>
                                  <w:bCs/>
                                  <w:color w:val="000000"/>
                                  <w:kern w:val="24"/>
                                  <w:sz w:val="22"/>
                                </w:rPr>
                                <w:t>任务二、标准体系编制</w:t>
                              </w:r>
                            </w:p>
                          </w:txbxContent>
                        </wps:txbx>
                        <wps:bodyPr rot="0" vert="horz" wrap="square" lIns="91440" tIns="45720" rIns="91440" bIns="45720" anchor="t" anchorCtr="0" upright="1">
                          <a:noAutofit/>
                        </wps:bodyPr>
                      </wps:wsp>
                      <wps:wsp>
                        <wps:cNvPr id="89" name="圆角矩形 97"/>
                        <wps:cNvSpPr>
                          <a:spLocks noChangeArrowheads="1"/>
                        </wps:cNvSpPr>
                        <wps:spPr bwMode="auto">
                          <a:xfrm>
                            <a:off x="4176464" y="1944216"/>
                            <a:ext cx="2016224" cy="360040"/>
                          </a:xfrm>
                          <a:prstGeom prst="roundRect">
                            <a:avLst>
                              <a:gd name="adj" fmla="val 16667"/>
                            </a:avLst>
                          </a:prstGeom>
                          <a:solidFill>
                            <a:srgbClr val="FF99FF"/>
                          </a:solidFill>
                          <a:ln w="12700" cap="flat" cmpd="sng" algn="ctr">
                            <a:solidFill>
                              <a:srgbClr val="FFFFFF"/>
                            </a:solidFill>
                            <a:prstDash val="solid"/>
                            <a:miter lim="800000"/>
                          </a:ln>
                        </wps:spPr>
                        <wps:bodyPr rot="0" vert="horz" wrap="square" lIns="91440" tIns="45720" rIns="91440" bIns="45720" anchor="ctr" anchorCtr="0" upright="1">
                          <a:noAutofit/>
                        </wps:bodyPr>
                      </wps:wsp>
                      <wps:wsp>
                        <wps:cNvPr id="90" name="TextBox 33"/>
                        <wps:cNvSpPr txBox="1">
                          <a:spLocks noChangeArrowheads="1"/>
                        </wps:cNvSpPr>
                        <wps:spPr bwMode="auto">
                          <a:xfrm>
                            <a:off x="4320480" y="1945018"/>
                            <a:ext cx="1976120" cy="367665"/>
                          </a:xfrm>
                          <a:prstGeom prst="rect">
                            <a:avLst/>
                          </a:prstGeom>
                          <a:noFill/>
                          <a:ln>
                            <a:noFill/>
                          </a:ln>
                        </wps:spPr>
                        <wps:txbx>
                          <w:txbxContent>
                            <w:p>
                              <w:pPr>
                                <w:rPr>
                                  <w:rFonts w:ascii="黑体" w:hAnsi="黑体" w:eastAsia="黑体"/>
                                  <w:b/>
                                  <w:bCs/>
                                  <w:color w:val="000000"/>
                                  <w:kern w:val="24"/>
                                  <w:sz w:val="22"/>
                                </w:rPr>
                              </w:pPr>
                              <w:r>
                                <w:rPr>
                                  <w:rFonts w:hint="eastAsia" w:ascii="黑体" w:hAnsi="黑体" w:eastAsia="黑体"/>
                                  <w:b/>
                                  <w:bCs/>
                                  <w:color w:val="000000"/>
                                  <w:kern w:val="24"/>
                                  <w:sz w:val="22"/>
                                </w:rPr>
                                <w:t>任务三、重要标准研制</w:t>
                              </w:r>
                            </w:p>
                          </w:txbxContent>
                        </wps:txbx>
                        <wps:bodyPr rot="0" vert="horz" wrap="square" lIns="91440" tIns="45720" rIns="91440" bIns="45720" anchor="t" anchorCtr="0" upright="1">
                          <a:noAutofit/>
                        </wps:bodyPr>
                      </wps:wsp>
                      <wps:wsp>
                        <wps:cNvPr id="91" name="六边形 21609"/>
                        <wps:cNvSpPr>
                          <a:spLocks noChangeArrowheads="1"/>
                        </wps:cNvSpPr>
                        <wps:spPr bwMode="auto">
                          <a:xfrm>
                            <a:off x="1224136" y="2520280"/>
                            <a:ext cx="720080" cy="504056"/>
                          </a:xfrm>
                          <a:prstGeom prst="hexagon">
                            <a:avLst>
                              <a:gd name="adj" fmla="val 23366"/>
                              <a:gd name="vf" fmla="val 115470"/>
                            </a:avLst>
                          </a:prstGeom>
                          <a:solidFill>
                            <a:srgbClr val="FFC000"/>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92" name="TextBox 35"/>
                        <wps:cNvSpPr txBox="1">
                          <a:spLocks noChangeArrowheads="1"/>
                        </wps:cNvSpPr>
                        <wps:spPr bwMode="auto">
                          <a:xfrm>
                            <a:off x="1250919" y="2576986"/>
                            <a:ext cx="648141"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标准体系框架</w:t>
                              </w:r>
                            </w:p>
                          </w:txbxContent>
                        </wps:txbx>
                        <wps:bodyPr rot="0" vert="horz" wrap="square" lIns="91440" tIns="45720" rIns="91440" bIns="45720" anchor="t" anchorCtr="0" upright="1">
                          <a:noAutofit/>
                        </wps:bodyPr>
                      </wps:wsp>
                      <wps:wsp>
                        <wps:cNvPr id="93" name="六边形 21611"/>
                        <wps:cNvSpPr>
                          <a:spLocks noChangeArrowheads="1"/>
                        </wps:cNvSpPr>
                        <wps:spPr bwMode="auto">
                          <a:xfrm>
                            <a:off x="2016224" y="2520280"/>
                            <a:ext cx="720080" cy="504056"/>
                          </a:xfrm>
                          <a:prstGeom prst="hexagon">
                            <a:avLst>
                              <a:gd name="adj" fmla="val 23366"/>
                              <a:gd name="vf" fmla="val 115470"/>
                            </a:avLst>
                          </a:prstGeom>
                          <a:solidFill>
                            <a:srgbClr val="FFC000"/>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94" name="TextBox 37"/>
                        <wps:cNvSpPr txBox="1">
                          <a:spLocks noChangeArrowheads="1"/>
                        </wps:cNvSpPr>
                        <wps:spPr bwMode="auto">
                          <a:xfrm>
                            <a:off x="2012780" y="2582067"/>
                            <a:ext cx="715876"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标准明细表</w:t>
                              </w:r>
                            </w:p>
                          </w:txbxContent>
                        </wps:txbx>
                        <wps:bodyPr rot="0" vert="horz" wrap="square" lIns="91440" tIns="45720" rIns="91440" bIns="45720" anchor="t" anchorCtr="0" upright="1">
                          <a:noAutofit/>
                        </wps:bodyPr>
                      </wps:wsp>
                      <wps:wsp>
                        <wps:cNvPr id="95" name="六边形 21613"/>
                        <wps:cNvSpPr>
                          <a:spLocks noChangeArrowheads="1"/>
                        </wps:cNvSpPr>
                        <wps:spPr bwMode="auto">
                          <a:xfrm>
                            <a:off x="2808312" y="2520280"/>
                            <a:ext cx="720080" cy="504056"/>
                          </a:xfrm>
                          <a:prstGeom prst="hexagon">
                            <a:avLst>
                              <a:gd name="adj" fmla="val 23366"/>
                              <a:gd name="vf" fmla="val 115470"/>
                            </a:avLst>
                          </a:prstGeom>
                          <a:solidFill>
                            <a:srgbClr val="FFC000"/>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96" name="TextBox 39"/>
                        <wps:cNvSpPr txBox="1">
                          <a:spLocks noChangeArrowheads="1"/>
                        </wps:cNvSpPr>
                        <wps:spPr bwMode="auto">
                          <a:xfrm>
                            <a:off x="2868295" y="2582099"/>
                            <a:ext cx="659765"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标准统计表</w:t>
                              </w:r>
                            </w:p>
                          </w:txbxContent>
                        </wps:txbx>
                        <wps:bodyPr rot="0" vert="horz" wrap="square" lIns="91440" tIns="45720" rIns="91440" bIns="45720" anchor="t" anchorCtr="0" upright="1">
                          <a:noAutofit/>
                        </wps:bodyPr>
                      </wps:wsp>
                      <wps:wsp>
                        <wps:cNvPr id="97" name="六边形 21615"/>
                        <wps:cNvSpPr>
                          <a:spLocks noChangeArrowheads="1"/>
                        </wps:cNvSpPr>
                        <wps:spPr bwMode="auto">
                          <a:xfrm>
                            <a:off x="3960440" y="2520280"/>
                            <a:ext cx="720080" cy="504056"/>
                          </a:xfrm>
                          <a:prstGeom prst="hexagon">
                            <a:avLst>
                              <a:gd name="adj" fmla="val 23366"/>
                              <a:gd name="vf" fmla="val 115470"/>
                            </a:avLst>
                          </a:prstGeom>
                          <a:solidFill>
                            <a:srgbClr val="FFC000"/>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98" name="TextBox 41"/>
                        <wps:cNvSpPr txBox="1">
                          <a:spLocks noChangeArrowheads="1"/>
                        </wps:cNvSpPr>
                        <wps:spPr bwMode="auto">
                          <a:xfrm>
                            <a:off x="3960440" y="2660824"/>
                            <a:ext cx="720090" cy="218453"/>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起草标准</w:t>
                              </w:r>
                            </w:p>
                          </w:txbxContent>
                        </wps:txbx>
                        <wps:bodyPr rot="0" vert="horz" wrap="square" lIns="91440" tIns="45720" rIns="91440" bIns="45720" anchor="t" anchorCtr="0" upright="1">
                          <a:noAutofit/>
                        </wps:bodyPr>
                      </wps:wsp>
                      <wps:wsp>
                        <wps:cNvPr id="99" name="六边形 21617"/>
                        <wps:cNvSpPr>
                          <a:spLocks noChangeArrowheads="1"/>
                        </wps:cNvSpPr>
                        <wps:spPr bwMode="auto">
                          <a:xfrm>
                            <a:off x="4752528" y="2520280"/>
                            <a:ext cx="720080" cy="504056"/>
                          </a:xfrm>
                          <a:prstGeom prst="hexagon">
                            <a:avLst>
                              <a:gd name="adj" fmla="val 23366"/>
                              <a:gd name="vf" fmla="val 115470"/>
                            </a:avLst>
                          </a:prstGeom>
                          <a:solidFill>
                            <a:srgbClr val="FFC000"/>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00" name="TextBox 43"/>
                        <wps:cNvSpPr txBox="1">
                          <a:spLocks noChangeArrowheads="1"/>
                        </wps:cNvSpPr>
                        <wps:spPr bwMode="auto">
                          <a:xfrm>
                            <a:off x="4771454" y="2660824"/>
                            <a:ext cx="720090" cy="218453"/>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征求意见</w:t>
                              </w:r>
                            </w:p>
                          </w:txbxContent>
                        </wps:txbx>
                        <wps:bodyPr rot="0" vert="horz" wrap="square" lIns="91440" tIns="45720" rIns="91440" bIns="45720" anchor="t" anchorCtr="0" upright="1">
                          <a:noAutofit/>
                        </wps:bodyPr>
                      </wps:wsp>
                      <wps:wsp>
                        <wps:cNvPr id="101" name="六边形 21619"/>
                        <wps:cNvSpPr>
                          <a:spLocks noChangeArrowheads="1"/>
                        </wps:cNvSpPr>
                        <wps:spPr bwMode="auto">
                          <a:xfrm>
                            <a:off x="5544616" y="2520280"/>
                            <a:ext cx="720080" cy="504056"/>
                          </a:xfrm>
                          <a:prstGeom prst="hexagon">
                            <a:avLst>
                              <a:gd name="adj" fmla="val 23366"/>
                              <a:gd name="vf" fmla="val 115470"/>
                            </a:avLst>
                          </a:prstGeom>
                          <a:solidFill>
                            <a:srgbClr val="FFC000"/>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02" name="TextBox 45"/>
                        <wps:cNvSpPr txBox="1">
                          <a:spLocks noChangeArrowheads="1"/>
                        </wps:cNvSpPr>
                        <wps:spPr bwMode="auto">
                          <a:xfrm>
                            <a:off x="5584874" y="2646822"/>
                            <a:ext cx="720090" cy="218453"/>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审核发布</w:t>
                              </w:r>
                            </w:p>
                          </w:txbxContent>
                        </wps:txbx>
                        <wps:bodyPr rot="0" vert="horz" wrap="square" lIns="91440" tIns="45720" rIns="91440" bIns="45720" anchor="t" anchorCtr="0" upright="1">
                          <a:noAutofit/>
                        </wps:bodyPr>
                      </wps:wsp>
                      <wps:wsp>
                        <wps:cNvPr id="103" name="矩形 21621"/>
                        <wps:cNvSpPr>
                          <a:spLocks noChangeArrowheads="1"/>
                        </wps:cNvSpPr>
                        <wps:spPr bwMode="auto">
                          <a:xfrm>
                            <a:off x="1008112" y="4558208"/>
                            <a:ext cx="5616624" cy="914400"/>
                          </a:xfrm>
                          <a:prstGeom prst="rect">
                            <a:avLst/>
                          </a:prstGeom>
                          <a:noFill/>
                          <a:ln w="19050" cap="flat" cmpd="sng" algn="ctr">
                            <a:solidFill>
                              <a:srgbClr val="0070C0"/>
                            </a:solidFill>
                            <a:prstDash val="dashDot"/>
                            <a:miter lim="800000"/>
                          </a:ln>
                        </wps:spPr>
                        <wps:bodyPr rot="0" vert="horz" wrap="square" lIns="91440" tIns="45720" rIns="91440" bIns="45720" anchor="ctr" anchorCtr="0" upright="1">
                          <a:noAutofit/>
                        </wps:bodyPr>
                      </wps:wsp>
                      <wps:wsp>
                        <wps:cNvPr id="104" name="矩形 21622"/>
                        <wps:cNvSpPr>
                          <a:spLocks noChangeArrowheads="1"/>
                        </wps:cNvSpPr>
                        <wps:spPr bwMode="auto">
                          <a:xfrm>
                            <a:off x="1078164" y="4774220"/>
                            <a:ext cx="912245"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105" name="矩形 21623"/>
                        <wps:cNvSpPr>
                          <a:spLocks noChangeArrowheads="1"/>
                        </wps:cNvSpPr>
                        <wps:spPr bwMode="auto">
                          <a:xfrm>
                            <a:off x="2281854" y="4774220"/>
                            <a:ext cx="840781"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106" name="矩形 21624"/>
                        <wps:cNvSpPr>
                          <a:spLocks noChangeArrowheads="1"/>
                        </wps:cNvSpPr>
                        <wps:spPr bwMode="auto">
                          <a:xfrm>
                            <a:off x="3426510" y="4774220"/>
                            <a:ext cx="840781"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107" name="TextBox 50"/>
                        <wps:cNvSpPr txBox="1">
                          <a:spLocks noChangeArrowheads="1"/>
                        </wps:cNvSpPr>
                        <wps:spPr bwMode="auto">
                          <a:xfrm>
                            <a:off x="2251405" y="4810417"/>
                            <a:ext cx="899816"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建立机制加强实施管理</w:t>
                              </w:r>
                            </w:p>
                          </w:txbxContent>
                        </wps:txbx>
                        <wps:bodyPr rot="0" vert="horz" wrap="square" lIns="91440" tIns="45720" rIns="91440" bIns="45720" anchor="t" anchorCtr="0" upright="1">
                          <a:noAutofit/>
                        </wps:bodyPr>
                      </wps:wsp>
                      <wps:wsp>
                        <wps:cNvPr id="108" name="TextBox 51"/>
                        <wps:cNvSpPr txBox="1">
                          <a:spLocks noChangeArrowheads="1"/>
                        </wps:cNvSpPr>
                        <wps:spPr bwMode="auto">
                          <a:xfrm>
                            <a:off x="3354425" y="4817402"/>
                            <a:ext cx="1007943"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开展内部实施情况检查</w:t>
                              </w:r>
                            </w:p>
                          </w:txbxContent>
                        </wps:txbx>
                        <wps:bodyPr rot="0" vert="horz" wrap="square" lIns="91440" tIns="45720" rIns="91440" bIns="45720" anchor="t" anchorCtr="0" upright="1">
                          <a:noAutofit/>
                        </wps:bodyPr>
                      </wps:wsp>
                      <wpg:grpSp>
                        <wpg:cNvPr id="136" name="组合 21627"/>
                        <wpg:cNvGrpSpPr/>
                        <wpg:grpSpPr>
                          <a:xfrm>
                            <a:off x="4505295" y="4773585"/>
                            <a:ext cx="924052" cy="432461"/>
                            <a:chOff x="4505295" y="4773585"/>
                            <a:chExt cx="924052" cy="432461"/>
                          </a:xfrm>
                        </wpg:grpSpPr>
                        <wps:wsp>
                          <wps:cNvPr id="110" name="矩形 21628"/>
                          <wps:cNvSpPr>
                            <a:spLocks noChangeArrowheads="1"/>
                          </wps:cNvSpPr>
                          <wps:spPr bwMode="auto">
                            <a:xfrm>
                              <a:off x="4566195" y="4774220"/>
                              <a:ext cx="840781" cy="431826"/>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111" name="TextBox 54"/>
                          <wps:cNvSpPr txBox="1">
                            <a:spLocks noChangeArrowheads="1"/>
                          </wps:cNvSpPr>
                          <wps:spPr bwMode="auto">
                            <a:xfrm>
                              <a:off x="4505295" y="4773585"/>
                              <a:ext cx="924052"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开展宣贯培训强化实施效果</w:t>
                                </w:r>
                              </w:p>
                            </w:txbxContent>
                          </wps:txbx>
                          <wps:bodyPr rot="0" vert="horz" wrap="square" lIns="91440" tIns="45720" rIns="91440" bIns="45720" anchor="t" anchorCtr="0" upright="1">
                            <a:noAutofit/>
                          </wps:bodyPr>
                        </wps:wsp>
                      </wpg:grpSp>
                      <wps:wsp>
                        <wps:cNvPr id="112" name="矩形 21630"/>
                        <wps:cNvSpPr>
                          <a:spLocks noChangeArrowheads="1"/>
                        </wps:cNvSpPr>
                        <wps:spPr bwMode="auto">
                          <a:xfrm>
                            <a:off x="992408" y="4764694"/>
                            <a:ext cx="1066357" cy="472469"/>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多种形式对标准体系和标准进行宣贯培训</w:t>
                              </w:r>
                            </w:p>
                          </w:txbxContent>
                        </wps:txbx>
                        <wps:bodyPr rot="0" vert="horz" wrap="square" lIns="91440" tIns="45720" rIns="91440" bIns="45720" anchor="t" anchorCtr="0" upright="1">
                          <a:noAutofit/>
                        </wps:bodyPr>
                      </wps:wsp>
                      <wpg:grpSp>
                        <wpg:cNvPr id="137" name="组合 21631"/>
                        <wpg:cNvGrpSpPr/>
                        <wpg:grpSpPr>
                          <a:xfrm>
                            <a:off x="5682282" y="4772714"/>
                            <a:ext cx="847393" cy="433566"/>
                            <a:chOff x="5682282" y="4772714"/>
                            <a:chExt cx="847393" cy="433566"/>
                          </a:xfrm>
                        </wpg:grpSpPr>
                        <wps:wsp>
                          <wps:cNvPr id="114" name="矩形 21632"/>
                          <wps:cNvSpPr>
                            <a:spLocks noChangeArrowheads="1"/>
                          </wps:cNvSpPr>
                          <wps:spPr bwMode="auto">
                            <a:xfrm>
                              <a:off x="5688632" y="4774232"/>
                              <a:ext cx="841043" cy="432048"/>
                            </a:xfrm>
                            <a:prstGeom prst="rect">
                              <a:avLst/>
                            </a:prstGeom>
                            <a:noFill/>
                            <a:ln w="12700" cap="flat" cmpd="sng" algn="ctr">
                              <a:solidFill>
                                <a:srgbClr val="0070C0"/>
                              </a:solidFill>
                              <a:prstDash val="solid"/>
                              <a:miter lim="800000"/>
                            </a:ln>
                          </wps:spPr>
                          <wps:bodyPr rot="0" vert="horz" wrap="square" lIns="91440" tIns="45720" rIns="91440" bIns="45720" anchor="ctr" anchorCtr="0" upright="1">
                            <a:noAutofit/>
                          </wps:bodyPr>
                        </wps:wsp>
                        <wps:wsp>
                          <wps:cNvPr id="115" name="TextBox 62"/>
                          <wps:cNvSpPr txBox="1">
                            <a:spLocks noChangeArrowheads="1"/>
                          </wps:cNvSpPr>
                          <wps:spPr bwMode="auto">
                            <a:xfrm>
                              <a:off x="5682282" y="4772714"/>
                              <a:ext cx="824003" cy="345461"/>
                            </a:xfrm>
                            <a:prstGeom prst="rect">
                              <a:avLst/>
                            </a:prstGeom>
                            <a:noFill/>
                            <a:ln>
                              <a:noFill/>
                            </a:ln>
                          </wps:spPr>
                          <wps:txb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按照试点任务开展评价改进</w:t>
                                </w:r>
                              </w:p>
                            </w:txbxContent>
                          </wps:txbx>
                          <wps:bodyPr rot="0" vert="horz" wrap="square" lIns="91440" tIns="45720" rIns="91440" bIns="45720" anchor="t" anchorCtr="0" upright="1">
                            <a:noAutofit/>
                          </wps:bodyPr>
                        </wps:wsp>
                      </wpg:grpSp>
                      <wps:wsp>
                        <wps:cNvPr id="116" name="TextBox 63"/>
                        <wps:cNvSpPr txBox="1">
                          <a:spLocks noChangeArrowheads="1"/>
                        </wps:cNvSpPr>
                        <wps:spPr bwMode="auto">
                          <a:xfrm>
                            <a:off x="0" y="2231835"/>
                            <a:ext cx="1008380" cy="1196340"/>
                          </a:xfrm>
                          <a:prstGeom prst="rect">
                            <a:avLst/>
                          </a:prstGeom>
                          <a:noFill/>
                          <a:ln>
                            <a:noFill/>
                          </a:ln>
                        </wps:spPr>
                        <wps:txbx>
                          <w:txbxContent>
                            <w:p>
                              <w:pPr>
                                <w:rPr>
                                  <w:rFonts w:ascii="黑体" w:hAnsi="黑体" w:eastAsia="黑体"/>
                                  <w:b/>
                                  <w:bCs/>
                                  <w:color w:val="FF7300"/>
                                  <w:spacing w:val="10"/>
                                  <w:kern w:val="24"/>
                                  <w:sz w:val="48"/>
                                  <w:szCs w:val="48"/>
                                </w:rPr>
                              </w:pPr>
                              <w:r>
                                <w:rPr>
                                  <w:rFonts w:hint="eastAsia" w:ascii="黑体" w:hAnsi="黑体" w:eastAsia="黑体"/>
                                  <w:b/>
                                  <w:bCs/>
                                  <w:color w:val="FF7300"/>
                                  <w:spacing w:val="10"/>
                                  <w:kern w:val="24"/>
                                  <w:sz w:val="48"/>
                                  <w:szCs w:val="48"/>
                                </w:rPr>
                                <w:t>体系建</w:t>
                              </w:r>
                              <w:r>
                                <w:rPr>
                                  <w:rFonts w:hint="eastAsia" w:ascii="黑体" w:hAnsi="黑体" w:eastAsia="黑体"/>
                                  <w:b/>
                                  <w:bCs/>
                                  <w:color w:val="FF7300"/>
                                  <w:spacing w:val="10"/>
                                  <w:kern w:val="24"/>
                                  <w:sz w:val="48"/>
                                  <w:szCs w:val="48"/>
                                  <w:lang w:val="en-US" w:eastAsia="zh-CN"/>
                                </w:rPr>
                                <w:t xml:space="preserve"> </w:t>
                              </w:r>
                              <w:r>
                                <w:rPr>
                                  <w:rFonts w:hint="eastAsia" w:ascii="黑体" w:hAnsi="黑体" w:eastAsia="黑体"/>
                                  <w:b/>
                                  <w:bCs/>
                                  <w:color w:val="FF7300"/>
                                  <w:spacing w:val="10"/>
                                  <w:kern w:val="24"/>
                                  <w:sz w:val="48"/>
                                  <w:szCs w:val="48"/>
                                </w:rPr>
                                <w:t>设</w:t>
                              </w:r>
                            </w:p>
                          </w:txbxContent>
                        </wps:txbx>
                        <wps:bodyPr rot="0" vert="horz" wrap="square" lIns="91440" tIns="45720" rIns="91440" bIns="45720" anchor="t" anchorCtr="0" upright="1">
                          <a:noAutofit/>
                        </wps:bodyPr>
                      </wps:wsp>
                      <wps:wsp>
                        <wps:cNvPr id="117" name="TextBox 64"/>
                        <wps:cNvSpPr txBox="1">
                          <a:spLocks noChangeArrowheads="1"/>
                        </wps:cNvSpPr>
                        <wps:spPr bwMode="auto">
                          <a:xfrm>
                            <a:off x="0" y="4379226"/>
                            <a:ext cx="1008565" cy="1196413"/>
                          </a:xfrm>
                          <a:prstGeom prst="rect">
                            <a:avLst/>
                          </a:prstGeom>
                          <a:noFill/>
                          <a:ln>
                            <a:noFill/>
                          </a:ln>
                        </wps:spPr>
                        <wps:txbx>
                          <w:txbxContent>
                            <w:p>
                              <w:pPr>
                                <w:rPr>
                                  <w:rFonts w:ascii="黑体" w:hAnsi="黑体" w:eastAsia="黑体"/>
                                  <w:b/>
                                  <w:bCs/>
                                  <w:color w:val="00CC66"/>
                                  <w:spacing w:val="10"/>
                                  <w:kern w:val="24"/>
                                  <w:sz w:val="48"/>
                                  <w:szCs w:val="48"/>
                                </w:rPr>
                              </w:pPr>
                              <w:r>
                                <w:rPr>
                                  <w:rFonts w:hint="eastAsia" w:ascii="黑体" w:hAnsi="黑体" w:eastAsia="黑体"/>
                                  <w:b/>
                                  <w:bCs/>
                                  <w:color w:val="00CC66"/>
                                  <w:spacing w:val="10"/>
                                  <w:kern w:val="24"/>
                                  <w:sz w:val="48"/>
                                  <w:szCs w:val="48"/>
                                </w:rPr>
                                <w:t>实施保</w:t>
                              </w:r>
                              <w:r>
                                <w:rPr>
                                  <w:rFonts w:hint="eastAsia" w:ascii="黑体" w:hAnsi="黑体" w:eastAsia="黑体"/>
                                  <w:b/>
                                  <w:bCs/>
                                  <w:color w:val="00CC66"/>
                                  <w:spacing w:val="10"/>
                                  <w:kern w:val="24"/>
                                  <w:sz w:val="48"/>
                                  <w:szCs w:val="48"/>
                                  <w:lang w:val="en-US" w:eastAsia="zh-CN"/>
                                </w:rPr>
                                <w:t xml:space="preserve"> </w:t>
                              </w:r>
                              <w:r>
                                <w:rPr>
                                  <w:rFonts w:hint="eastAsia" w:ascii="黑体" w:hAnsi="黑体" w:eastAsia="黑体"/>
                                  <w:b/>
                                  <w:bCs/>
                                  <w:color w:val="00CC66"/>
                                  <w:spacing w:val="10"/>
                                  <w:kern w:val="24"/>
                                  <w:sz w:val="48"/>
                                  <w:szCs w:val="48"/>
                                </w:rPr>
                                <w:t>障</w:t>
                              </w:r>
                            </w:p>
                          </w:txbxContent>
                        </wps:txbx>
                        <wps:bodyPr rot="0" vert="horz" wrap="square" lIns="91440" tIns="45720" rIns="91440" bIns="45720" anchor="t" anchorCtr="0" upright="1">
                          <a:noAutofit/>
                        </wps:bodyPr>
                      </wps:wsp>
                      <wps:wsp>
                        <wps:cNvPr id="118" name="圆角矩形 126"/>
                        <wps:cNvSpPr>
                          <a:spLocks noChangeArrowheads="1"/>
                        </wps:cNvSpPr>
                        <wps:spPr bwMode="auto">
                          <a:xfrm>
                            <a:off x="1224136" y="4342184"/>
                            <a:ext cx="2016224" cy="360040"/>
                          </a:xfrm>
                          <a:prstGeom prst="roundRect">
                            <a:avLst>
                              <a:gd name="adj" fmla="val 16667"/>
                            </a:avLst>
                          </a:prstGeom>
                          <a:solidFill>
                            <a:srgbClr val="00CC66"/>
                          </a:solidFill>
                          <a:ln w="12700" cap="flat" cmpd="sng" algn="ctr">
                            <a:solidFill>
                              <a:srgbClr val="FFFFFF"/>
                            </a:solidFill>
                            <a:prstDash val="solid"/>
                            <a:miter lim="800000"/>
                          </a:ln>
                        </wps:spPr>
                        <wps:bodyPr rot="0" vert="horz" wrap="square" lIns="91440" tIns="45720" rIns="91440" bIns="45720" anchor="ctr" anchorCtr="0" upright="1">
                          <a:noAutofit/>
                        </wps:bodyPr>
                      </wps:wsp>
                      <wps:wsp>
                        <wps:cNvPr id="119" name="TextBox 66"/>
                        <wps:cNvSpPr txBox="1">
                          <a:spLocks noChangeArrowheads="1"/>
                        </wps:cNvSpPr>
                        <wps:spPr bwMode="auto">
                          <a:xfrm>
                            <a:off x="1224136" y="4342710"/>
                            <a:ext cx="1976120" cy="367665"/>
                          </a:xfrm>
                          <a:prstGeom prst="rect">
                            <a:avLst/>
                          </a:prstGeom>
                          <a:noFill/>
                          <a:ln>
                            <a:noFill/>
                          </a:ln>
                        </wps:spPr>
                        <wps:txbx>
                          <w:txbxContent>
                            <w:p>
                              <w:pPr>
                                <w:rPr>
                                  <w:rFonts w:ascii="黑体" w:hAnsi="黑体" w:eastAsia="黑体"/>
                                  <w:b/>
                                  <w:bCs/>
                                  <w:color w:val="000000"/>
                                  <w:kern w:val="24"/>
                                  <w:sz w:val="22"/>
                                </w:rPr>
                              </w:pPr>
                              <w:r>
                                <w:rPr>
                                  <w:rFonts w:hint="eastAsia" w:ascii="黑体" w:hAnsi="黑体" w:eastAsia="黑体"/>
                                  <w:b/>
                                  <w:bCs/>
                                  <w:color w:val="000000"/>
                                  <w:kern w:val="24"/>
                                  <w:sz w:val="22"/>
                                </w:rPr>
                                <w:t>任务四、组织实施阶段</w:t>
                              </w:r>
                            </w:p>
                          </w:txbxContent>
                        </wps:txbx>
                        <wps:bodyPr rot="0" vert="horz" wrap="square" lIns="91440" tIns="45720" rIns="91440" bIns="45720" anchor="t" anchorCtr="0" upright="1">
                          <a:noAutofit/>
                        </wps:bodyPr>
                      </wps:wsp>
                      <wps:wsp>
                        <wps:cNvPr id="120" name="下箭头 128"/>
                        <wps:cNvSpPr>
                          <a:spLocks noChangeArrowheads="1"/>
                        </wps:cNvSpPr>
                        <wps:spPr bwMode="auto">
                          <a:xfrm>
                            <a:off x="3456384" y="1152128"/>
                            <a:ext cx="484632" cy="648072"/>
                          </a:xfrm>
                          <a:prstGeom prst="downArrow">
                            <a:avLst>
                              <a:gd name="adj1" fmla="val 50000"/>
                              <a:gd name="adj2" fmla="val 49998"/>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21" name="下箭头 129"/>
                        <wps:cNvSpPr>
                          <a:spLocks noChangeArrowheads="1"/>
                        </wps:cNvSpPr>
                        <wps:spPr bwMode="auto">
                          <a:xfrm>
                            <a:off x="3528392" y="3888432"/>
                            <a:ext cx="484632" cy="648072"/>
                          </a:xfrm>
                          <a:prstGeom prst="downArrow">
                            <a:avLst>
                              <a:gd name="adj1" fmla="val 50000"/>
                              <a:gd name="adj2" fmla="val 49998"/>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22" name="TextBox 70"/>
                        <wps:cNvSpPr txBox="1">
                          <a:spLocks noChangeArrowheads="1"/>
                        </wps:cNvSpPr>
                        <wps:spPr bwMode="auto">
                          <a:xfrm>
                            <a:off x="6840760" y="1876221"/>
                            <a:ext cx="504190" cy="2301240"/>
                          </a:xfrm>
                          <a:prstGeom prst="rect">
                            <a:avLst/>
                          </a:prstGeom>
                          <a:noFill/>
                          <a:ln>
                            <a:noFill/>
                          </a:ln>
                        </wps:spPr>
                        <wps:txbx>
                          <w:txbxContent>
                            <w:p>
                              <w:pPr>
                                <w:rPr>
                                  <w:rFonts w:ascii="黑体" w:hAnsi="黑体" w:eastAsia="黑体"/>
                                  <w:b/>
                                  <w:bCs/>
                                  <w:color w:val="0070C0"/>
                                  <w:spacing w:val="10"/>
                                  <w:kern w:val="24"/>
                                  <w:sz w:val="48"/>
                                  <w:szCs w:val="48"/>
                                </w:rPr>
                              </w:pPr>
                              <w:r>
                                <w:rPr>
                                  <w:rFonts w:hint="eastAsia" w:ascii="黑体" w:hAnsi="黑体" w:eastAsia="黑体"/>
                                  <w:b/>
                                  <w:bCs/>
                                  <w:color w:val="0070C0"/>
                                  <w:spacing w:val="10"/>
                                  <w:kern w:val="24"/>
                                  <w:sz w:val="48"/>
                                  <w:szCs w:val="48"/>
                                </w:rPr>
                                <w:t>整体提升</w:t>
                              </w:r>
                            </w:p>
                          </w:txbxContent>
                        </wps:txbx>
                        <wps:bodyPr rot="0" vert="horz" wrap="square" lIns="91440" tIns="45720" rIns="91440" bIns="45720" anchor="t" anchorCtr="0" upright="1">
                          <a:noAutofit/>
                        </wps:bodyPr>
                      </wps:wsp>
                      <wps:wsp>
                        <wps:cNvPr id="123" name="TextBox 72"/>
                        <wps:cNvSpPr txBox="1">
                          <a:spLocks noChangeArrowheads="1"/>
                        </wps:cNvSpPr>
                        <wps:spPr bwMode="auto">
                          <a:xfrm>
                            <a:off x="7470140" y="448244"/>
                            <a:ext cx="1826304" cy="8930640"/>
                          </a:xfrm>
                          <a:prstGeom prst="rect">
                            <a:avLst/>
                          </a:prstGeom>
                          <a:noFill/>
                          <a:ln>
                            <a:noFill/>
                          </a:ln>
                        </wps:spPr>
                        <wps:txbx>
                          <w:txbxContent>
                            <w:p>
                              <w:pPr>
                                <w:spacing w:line="480" w:lineRule="auto"/>
                                <w:rPr>
                                  <w:rFonts w:ascii="黑体" w:hAnsi="黑体" w:eastAsia="黑体"/>
                                  <w:b/>
                                  <w:bCs/>
                                  <w:color w:val="000000"/>
                                  <w:kern w:val="24"/>
                                  <w:sz w:val="24"/>
                                  <w:szCs w:val="24"/>
                                </w:rPr>
                              </w:pPr>
                              <w:r>
                                <w:rPr>
                                  <w:rFonts w:hint="eastAsia" w:ascii="黑体" w:hAnsi="黑体" w:eastAsia="黑体"/>
                                  <w:b/>
                                  <w:bCs/>
                                  <w:color w:val="000000"/>
                                  <w:kern w:val="24"/>
                                  <w:sz w:val="24"/>
                                  <w:szCs w:val="24"/>
                                </w:rPr>
                                <w:t>任务五、总结验收阶段：</w:t>
                              </w:r>
                            </w:p>
                            <w:p>
                              <w:pPr>
                                <w:rPr>
                                  <w:rFonts w:ascii="黑体" w:hAnsi="黑体" w:eastAsia="黑体"/>
                                  <w:b/>
                                  <w:bCs/>
                                  <w:color w:val="000000"/>
                                  <w:kern w:val="24"/>
                                  <w:sz w:val="20"/>
                                  <w:szCs w:val="20"/>
                                </w:rPr>
                              </w:pPr>
                              <w:r>
                                <w:rPr>
                                  <w:rFonts w:hint="eastAsia" w:ascii="黑体" w:hAnsi="黑体" w:eastAsia="黑体"/>
                                  <w:b/>
                                  <w:bCs/>
                                  <w:color w:val="000000"/>
                                  <w:kern w:val="24"/>
                                  <w:sz w:val="20"/>
                                  <w:szCs w:val="20"/>
                                </w:rPr>
                                <w:t>1.对标准化试点进行全面总结，确认成功经验和做法，查找和分析问题与不足，提出改进措施。</w:t>
                              </w:r>
                            </w:p>
                            <w:p>
                              <w:pPr>
                                <w:rPr>
                                  <w:rFonts w:ascii="黑体" w:hAnsi="黑体" w:eastAsia="黑体"/>
                                  <w:b/>
                                  <w:bCs/>
                                  <w:color w:val="000000"/>
                                  <w:kern w:val="24"/>
                                  <w:sz w:val="20"/>
                                  <w:szCs w:val="20"/>
                                </w:rPr>
                              </w:pPr>
                              <w:r>
                                <w:rPr>
                                  <w:rFonts w:hint="eastAsia" w:ascii="黑体" w:hAnsi="黑体" w:eastAsia="黑体"/>
                                  <w:b/>
                                  <w:bCs/>
                                  <w:color w:val="000000"/>
                                  <w:kern w:val="24"/>
                                  <w:sz w:val="20"/>
                                  <w:szCs w:val="20"/>
                                </w:rPr>
                                <w:t>2.由领导小组办公室组织对标准化实施情况进行初验，收集整理材料，汇编成册，提请正式验收。</w:t>
                              </w:r>
                            </w:p>
                            <w:p>
                              <w:pPr>
                                <w:rPr>
                                  <w:rFonts w:ascii="黑体" w:hAnsi="黑体" w:eastAsia="黑体"/>
                                  <w:b/>
                                  <w:bCs/>
                                  <w:color w:val="000000"/>
                                  <w:kern w:val="24"/>
                                  <w:sz w:val="20"/>
                                  <w:szCs w:val="20"/>
                                </w:rPr>
                              </w:pPr>
                              <w:r>
                                <w:rPr>
                                  <w:rFonts w:hint="eastAsia" w:ascii="黑体" w:hAnsi="黑体" w:eastAsia="黑体"/>
                                  <w:b/>
                                  <w:bCs/>
                                  <w:color w:val="000000"/>
                                  <w:kern w:val="24"/>
                                  <w:sz w:val="20"/>
                                  <w:szCs w:val="20"/>
                                </w:rPr>
                                <w:t>3.创建标准化试点品牌，积极开展“标准提升服务质量行动”，以标准化、规范化管理为手段，以提高服务质量和水平为目的，争创本行业服务品牌，并推广应用。</w:t>
                              </w:r>
                            </w:p>
                          </w:txbxContent>
                        </wps:txbx>
                        <wps:bodyPr rot="0" vert="horz" wrap="square" lIns="91440" tIns="45720" rIns="91440" bIns="45720" anchor="t" anchorCtr="0" upright="1">
                          <a:noAutofit/>
                        </wps:bodyPr>
                      </wps:wsp>
                      <wps:wsp>
                        <wps:cNvPr id="124" name="TextBox 73"/>
                        <wps:cNvSpPr txBox="1">
                          <a:spLocks noChangeArrowheads="1"/>
                        </wps:cNvSpPr>
                        <wps:spPr bwMode="auto">
                          <a:xfrm>
                            <a:off x="2664296" y="1276209"/>
                            <a:ext cx="1296035" cy="367665"/>
                          </a:xfrm>
                          <a:prstGeom prst="rect">
                            <a:avLst/>
                          </a:prstGeom>
                          <a:noFill/>
                          <a:ln>
                            <a:noFill/>
                          </a:ln>
                        </wps:spPr>
                        <wps:txbx>
                          <w:txbxContent>
                            <w:p>
                              <w:pPr>
                                <w:rPr>
                                  <w:rFonts w:ascii="黑体" w:hAnsi="黑体" w:eastAsia="黑体"/>
                                  <w:b/>
                                  <w:bCs/>
                                  <w:color w:val="000000"/>
                                  <w:kern w:val="24"/>
                                  <w:sz w:val="28"/>
                                  <w:szCs w:val="28"/>
                                </w:rPr>
                              </w:pPr>
                              <w:r>
                                <w:rPr>
                                  <w:rFonts w:hint="eastAsia" w:ascii="黑体" w:hAnsi="黑体" w:eastAsia="黑体"/>
                                  <w:b/>
                                  <w:bCs/>
                                  <w:color w:val="000000"/>
                                  <w:kern w:val="24"/>
                                  <w:sz w:val="28"/>
                                  <w:szCs w:val="28"/>
                                </w:rPr>
                                <w:t>顶层设计</w:t>
                              </w:r>
                            </w:p>
                          </w:txbxContent>
                        </wps:txbx>
                        <wps:bodyPr rot="0" vert="horz" wrap="square" lIns="91440" tIns="45720" rIns="91440" bIns="45720" anchor="t" anchorCtr="0" upright="1">
                          <a:noAutofit/>
                        </wps:bodyPr>
                      </wps:wsp>
                      <wps:wsp>
                        <wps:cNvPr id="125" name="TextBox 74"/>
                        <wps:cNvSpPr txBox="1">
                          <a:spLocks noChangeArrowheads="1"/>
                        </wps:cNvSpPr>
                        <wps:spPr bwMode="auto">
                          <a:xfrm>
                            <a:off x="3955339" y="4103619"/>
                            <a:ext cx="1296282" cy="367687"/>
                          </a:xfrm>
                          <a:prstGeom prst="rect">
                            <a:avLst/>
                          </a:prstGeom>
                          <a:noFill/>
                          <a:ln>
                            <a:noFill/>
                          </a:ln>
                        </wps:spPr>
                        <wps:txbx>
                          <w:txbxContent>
                            <w:p>
                              <w:pPr>
                                <w:rPr>
                                  <w:rFonts w:ascii="黑体" w:hAnsi="黑体" w:eastAsia="黑体"/>
                                  <w:b/>
                                  <w:bCs/>
                                  <w:color w:val="000000"/>
                                  <w:kern w:val="24"/>
                                  <w:sz w:val="28"/>
                                  <w:szCs w:val="28"/>
                                </w:rPr>
                              </w:pPr>
                              <w:r>
                                <w:rPr>
                                  <w:rFonts w:hint="eastAsia" w:ascii="黑体" w:hAnsi="黑体" w:eastAsia="黑体"/>
                                  <w:b/>
                                  <w:bCs/>
                                  <w:color w:val="000000"/>
                                  <w:kern w:val="24"/>
                                  <w:sz w:val="28"/>
                                  <w:szCs w:val="28"/>
                                </w:rPr>
                                <w:t>组织实施</w:t>
                              </w:r>
                            </w:p>
                          </w:txbxContent>
                        </wps:txbx>
                        <wps:bodyPr rot="0" vert="horz" wrap="square" lIns="91440" tIns="45720" rIns="91440" bIns="45720" anchor="t" anchorCtr="0" upright="1">
                          <a:noAutofit/>
                        </wps:bodyPr>
                      </wps:wsp>
                      <wps:wsp>
                        <wps:cNvPr id="126" name="右箭头 134"/>
                        <wps:cNvSpPr>
                          <a:spLocks noChangeArrowheads="1"/>
                        </wps:cNvSpPr>
                        <wps:spPr bwMode="auto">
                          <a:xfrm>
                            <a:off x="3071679" y="504221"/>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27" name="右箭头 135"/>
                        <wps:cNvSpPr>
                          <a:spLocks noChangeArrowheads="1"/>
                        </wps:cNvSpPr>
                        <wps:spPr bwMode="auto">
                          <a:xfrm>
                            <a:off x="4195207" y="504221"/>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28" name="右箭头 136"/>
                        <wps:cNvSpPr>
                          <a:spLocks noChangeArrowheads="1"/>
                        </wps:cNvSpPr>
                        <wps:spPr bwMode="auto">
                          <a:xfrm>
                            <a:off x="5405808" y="504056"/>
                            <a:ext cx="266696" cy="288032"/>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29" name="右箭头 137"/>
                        <wps:cNvSpPr>
                          <a:spLocks noChangeArrowheads="1"/>
                        </wps:cNvSpPr>
                        <wps:spPr bwMode="auto">
                          <a:xfrm>
                            <a:off x="3140036" y="4824388"/>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30" name="右箭头 138"/>
                        <wps:cNvSpPr>
                          <a:spLocks noChangeArrowheads="1"/>
                        </wps:cNvSpPr>
                        <wps:spPr bwMode="auto">
                          <a:xfrm>
                            <a:off x="1973009" y="504221"/>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31" name="右箭头 139"/>
                        <wps:cNvSpPr>
                          <a:spLocks noChangeArrowheads="1"/>
                        </wps:cNvSpPr>
                        <wps:spPr bwMode="auto">
                          <a:xfrm>
                            <a:off x="5430590" y="4824388"/>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s:wsp>
                        <wps:cNvPr id="132" name="右箭头 140"/>
                        <wps:cNvSpPr>
                          <a:spLocks noChangeArrowheads="1"/>
                        </wps:cNvSpPr>
                        <wps:spPr bwMode="auto">
                          <a:xfrm>
                            <a:off x="2013401" y="4824388"/>
                            <a:ext cx="266589" cy="288307"/>
                          </a:xfrm>
                          <a:prstGeom prst="rightArrow">
                            <a:avLst>
                              <a:gd name="adj1" fmla="val 50000"/>
                              <a:gd name="adj2" fmla="val 50000"/>
                            </a:avLst>
                          </a:prstGeom>
                          <a:solidFill>
                            <a:srgbClr val="3399FF"/>
                          </a:solidFill>
                          <a:ln w="12700" cap="flat" cmpd="sng" algn="ctr">
                            <a:solidFill>
                              <a:srgbClr val="2F528F"/>
                            </a:solidFill>
                            <a:prstDash val="solid"/>
                            <a:miter lim="800000"/>
                          </a:ln>
                        </wps:spPr>
                        <wps:bodyPr rot="0" vert="horz" wrap="square" lIns="91440" tIns="45720" rIns="91440" bIns="45720" anchor="ctr" anchorCtr="0" upright="1">
                          <a:noAutofit/>
                        </wps:bodyPr>
                      </wps:wsp>
                    </wpg:wgp>
                  </a:graphicData>
                </a:graphic>
              </wp:anchor>
            </w:drawing>
          </mc:Choice>
          <mc:Fallback>
            <w:pict>
              <v:group id="组合 3" o:spid="_x0000_s1026" o:spt="203" style="position:absolute;left:0pt;margin-left:-3pt;margin-top:3.25pt;height:738.45pt;width:750.5pt;z-index:251717632;mso-width-relative:page;mso-height-relative:page;" coordsize="9327515,9378884" o:gfxdata="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">
                <o:lock v:ext="edit" aspectratio="f"/>
                <v:shape id="右箭头标注 15" o:spid="_x0000_s1026" o:spt="78" type="#_x0000_t78" style="position:absolute;left:18256;top:0;height:5760640;width:7974632;v-text-anchor:middle;" filled="f" stroked="t" coordsize="21600,21600" o:gfxdata="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LAKLsAAADb&#10;AAAADwAAAAAAAAABACAAAAAiAAAAZHJzL2Rvd25yZXYueG1sUEsBAhQAFAAAAAgAh07iQDMvBZ47&#10;AAAAOQAAABAAAAAAAAAAAQAgAAAACgEAAGRycy9zaGFwZXhtbC54bWxQSwUGAAAAAAYABgBbAQAA&#10;tAMAAAAA&#10;" adj="18600,4945,19094,6387">
                  <v:fill on="f" focussize="0,0"/>
                  <v:stroke weight="1.75pt" color="#0070C0" miterlimit="8" joinstyle="miter"/>
                  <v:imagedata o:title=""/>
                  <o:lock v:ext="edit" aspectratio="f"/>
                </v:shape>
                <v:roundrect id="圆角矩形 16" o:spid="_x0000_s1026" o:spt="2" style="position:absolute;left:7416800;top:575945;height:4896485;width:1910715;v-text-anchor:middle;" fillcolor="#99FFCC" filled="t" stroked="t" coordsize="21600,21600" arcsize="0.166666666666667" o:gfxdata="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EM/y/&#10;AAAA2wAAAA8AAAAAAAAAAQAgAAAAIgAAAGRycy9kb3ducmV2LnhtbFBLAQIUABQAAAAIAIdO4kAz&#10;LwWeOwAAADkAAAAQAAAAAAAAAAEAIAAAAA4BAABkcnMvc2hhcGV4bWwueG1sUEsFBgAAAAAGAAYA&#10;WwEAALgDAAAAAA==&#10;">
                  <v:fill on="t" focussize="0,0"/>
                  <v:stroke weight="1pt" color="#2F528F" miterlimit="8" joinstyle="miter"/>
                  <v:imagedata o:title=""/>
                  <o:lock v:ext="edit" aspectratio="f"/>
                </v:roundrect>
                <v:rect id="矩形 21585" o:spid="_x0000_s1026" o:spt="1" style="position:absolute;left:1010778;top:216024;height:914400;width:5613957;v-text-anchor:middle;" filled="f" stroked="t" coordsize="21600,21600" o:gfxdata="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c6tS8AAAA&#10;2wAAAA8AAAAAAAAAAQAgAAAAIgAAAGRycy9kb3ducmV2LnhtbFBLAQIUABQAAAAIAIdO4kAzLwWe&#10;OwAAADkAAAAQAAAAAAAAAAEAIAAAAAsBAABkcnMvc2hhcGV4bWwueG1sUEsFBgAAAAAGAAYAWwEA&#10;ALUDAAAAAA==&#10;">
                  <v:fill on="f" focussize="0,0"/>
                  <v:stroke weight="1.5pt" color="#0070C0" miterlimit="8" joinstyle="miter" dashstyle="dashDot"/>
                  <v:imagedata o:title=""/>
                  <o:lock v:ext="edit" aspectratio="f"/>
                </v:rect>
                <v:rect id="矩形 21586" o:spid="_x0000_s1026" o:spt="1" style="position:absolute;left:1080120;top:432048;height:432048;width:864096;v-text-anchor:middle;" filled="f" stroked="t" coordsize="21600,21600" o:gfxdata="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eNjQbgAAADbAAAA&#10;DwAAAAAAAAABACAAAAAiAAAAZHJzL2Rvd25yZXYueG1sUEsBAhQAFAAAAAgAh07iQDMvBZ47AAAA&#10;OQAAABAAAAAAAAAAAQAgAAAABwEAAGRycy9zaGFwZXhtbC54bWxQSwUGAAAAAAYABgBbAQAAsQMA&#10;AAAA&#10;">
                  <v:fill on="f" focussize="0,0"/>
                  <v:stroke weight="1pt" color="#0070C0" miterlimit="8" joinstyle="miter"/>
                  <v:imagedata o:title=""/>
                  <o:lock v:ext="edit" aspectratio="f"/>
                </v:rect>
                <v:shape id="TextBox 7" o:spid="_x0000_s1026" o:spt="202" type="#_x0000_t202" style="position:absolute;left:1029693;top:482629;height:345461;width:1077542;"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编制试点建设</w:t>
                        </w:r>
                      </w:p>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工作方案</w:t>
                        </w:r>
                      </w:p>
                    </w:txbxContent>
                  </v:textbox>
                </v:shape>
                <v:rect id="矩形 21588" o:spid="_x0000_s1026" o:spt="1" style="position:absolute;left:2269426;top:431826;height:431826;width:778639;v-text-anchor:middle;" filled="f" stroked="t" coordsize="21600,21600" o:gfxdata="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kz5mrgAAADbAAAA&#10;DwAAAAAAAAABACAAAAAiAAAAZHJzL2Rvd25yZXYueG1sUEsBAhQAFAAAAAgAh07iQDMvBZ47AAAA&#10;OQAAABAAAAAAAAAAAQAgAAAABwEAAGRycy9zaGFwZXhtbC54bWxQSwUGAAAAAAYABgBbAQAAsQMA&#10;AAAA&#10;">
                  <v:fill on="f" focussize="0,0"/>
                  <v:stroke weight="1pt" color="#0070C0" miterlimit="8" joinstyle="miter"/>
                  <v:imagedata o:title=""/>
                  <o:lock v:ext="edit" aspectratio="f"/>
                </v:rect>
                <v:rect id="矩形 21589" o:spid="_x0000_s1026" o:spt="1" style="position:absolute;left:3346968;top:431826;height:431826;width:778639;v-text-anchor:middle;" filled="f" stroked="t" coordsize="21600,21600" o:gfxdata="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AXAG8AAAA&#10;2wAAAA8AAAAAAAAAAQAgAAAAIgAAAGRycy9kb3ducmV2LnhtbFBLAQIUABQAAAAIAIdO4kAzLwWe&#10;OwAAADkAAAAQAAAAAAAAAAEAIAAAAAsBAABkcnMvc2hhcGV4bWwueG1sUEsFBgAAAAAGAAYAWwEA&#10;ALUDAAAAAA==&#10;">
                  <v:fill on="f" focussize="0,0"/>
                  <v:stroke weight="1pt" color="#0070C0" miterlimit="8" joinstyle="miter"/>
                  <v:imagedata o:title=""/>
                  <o:lock v:ext="edit" aspectratio="f"/>
                </v:rect>
                <v:shape id="TextBox 12" o:spid="_x0000_s1026" o:spt="202" type="#_x0000_t202" style="position:absolute;left:2189263;top:419125;height:472469;width:879931;"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组建试点建设领导机构和工作机构</w:t>
                        </w:r>
                      </w:p>
                    </w:txbxContent>
                  </v:textbox>
                </v:shape>
                <v:shape id="TextBox 13" o:spid="_x0000_s1026" o:spt="202" type="#_x0000_t202" style="position:absolute;left:3272398;top:412775;height:472469;width:923430;"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召开试点启动会议，开展宣传动员</w:t>
                        </w:r>
                      </w:p>
                    </w:txbxContent>
                  </v:textbox>
                </v:shape>
                <v:group id="组合 21592" o:spid="_x0000_s1026" o:spt="203" style="position:absolute;left:5628991;top:432048;height:432048;width:864395;" coordorigin="5624737,432048" coordsize="933547,432048"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rect id="矩形 21593" o:spid="_x0000_s1026" o:spt="1" style="position:absolute;left:5682158;top:432048;height:432048;width:841043;v-text-anchor:middle;" filled="f" stroked="t" coordsize="21600,21600" o:gfxdata="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7WgK8AAAA&#10;2wAAAA8AAAAAAAAAAQAgAAAAIgAAAGRycy9kb3ducmV2LnhtbFBLAQIUABQAAAAIAIdO4kAzLwWe&#10;OwAAADkAAAAQAAAAAAAAAAEAIAAAAAsBAABkcnMvc2hhcGV4bWwueG1sUEsFBgAAAAAGAAYAWwEA&#10;ALUDAAAAAA==&#10;">
                    <v:fill on="f" focussize="0,0"/>
                    <v:stroke weight="1pt" color="#0070C0" miterlimit="8" joinstyle="miter"/>
                    <v:imagedata o:title=""/>
                    <o:lock v:ext="edit" aspectratio="f"/>
                  </v:rect>
                  <v:shape id="TextBox 14" o:spid="_x0000_s1026" o:spt="202" type="#_x0000_t202" style="position:absolute;left:5624737;top:447924;height:345461;width:933547;"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开展标准化培训</w:t>
                          </w:r>
                        </w:p>
                      </w:txbxContent>
                    </v:textbox>
                  </v:shape>
                </v:group>
                <v:group id="组合 21595" o:spid="_x0000_s1026" o:spt="203" style="position:absolute;left:4469318;top:428117;height:435535;width:1221105;" coordorigin="4469321,428117" coordsize="1318794,435535"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rect id="矩形 21596" o:spid="_x0000_s1026" o:spt="1" style="position:absolute;left:4496767;top:431826;height:431826;width:930192;v-text-anchor:middle;" filled="f" stroked="t" coordsize="21600,21600" o:gfxdata="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Dr1nLgAAADbAAAA&#10;DwAAAAAAAAABACAAAAAiAAAAZHJzL2Rvd25yZXYueG1sUEsBAhQAFAAAAAgAh07iQDMvBZ47AAAA&#10;OQAAABAAAAAAAAAAAQAgAAAABwEAAGRycy9zaGFwZXhtbC54bWxQSwUGAAAAAAYABgBbAQAAsQMA&#10;AAAA&#10;">
                    <v:fill on="f" focussize="0,0"/>
                    <v:stroke weight="1pt" color="#0070C0" miterlimit="8" joinstyle="miter"/>
                    <v:imagedata o:title=""/>
                    <o:lock v:ext="edit" aspectratio="f"/>
                  </v:rect>
                  <v:shape id="TextBox 18" o:spid="_x0000_s1026" o:spt="202" type="#_x0000_t202" style="position:absolute;left:4469321;top:428117;height:345461;width:1318794;"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制定发布标准</w:t>
                          </w:r>
                        </w:p>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化</w:t>
                          </w:r>
                          <w:r>
                            <w:rPr>
                              <w:rFonts w:ascii="黑体" w:hAnsi="黑体" w:eastAsia="黑体"/>
                              <w:color w:val="000000"/>
                              <w:kern w:val="24"/>
                              <w:sz w:val="20"/>
                              <w:szCs w:val="20"/>
                            </w:rPr>
                            <w:t>工作</w:t>
                          </w:r>
                          <w:r>
                            <w:rPr>
                              <w:rFonts w:hint="eastAsia" w:ascii="黑体" w:hAnsi="黑体" w:eastAsia="黑体"/>
                              <w:color w:val="000000"/>
                              <w:kern w:val="24"/>
                              <w:sz w:val="20"/>
                              <w:szCs w:val="20"/>
                            </w:rPr>
                            <w:t>规划</w:t>
                          </w:r>
                        </w:p>
                      </w:txbxContent>
                    </v:textbox>
                  </v:shape>
                </v:group>
                <v:shape id="右箭头 88" o:spid="_x0000_s1026" o:spt="13" type="#_x0000_t13" style="position:absolute;left:4290905;top:4824388;height:288307;width:266589;v-text-anchor:middle;" fillcolor="#3399FF" filled="t" stroked="t" coordsize="21600,21600" o:gfxdata="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P99/ugAAANsA&#10;AAAPAAAAAAAAAAEAIAAAACIAAABkcnMvZG93bnJldi54bWxQSwECFAAUAAAACACHTuJAMy8FnjsA&#10;AAA5AAAAEAAAAAAAAAABACAAAAAJAQAAZHJzL3NoYXBleG1sLnhtbFBLBQYAAAAABgAGAFsBAACz&#10;AwAAAAA=&#10;" adj="10800,5400">
                  <v:fill on="t" focussize="0,0"/>
                  <v:stroke weight="1pt" color="#2F528F" miterlimit="8" joinstyle="miter"/>
                  <v:imagedata o:title=""/>
                  <o:lock v:ext="edit" aspectratio="f"/>
                </v:shape>
                <v:roundrect id="圆角矩形 89" o:spid="_x0000_s1026" o:spt="2" style="position:absolute;left:2520480;top:71759;height:288307;width:1860532;v-text-anchor:middle;" fillcolor="#B3A2C7 [1943]" filled="t" stroked="t" coordsize="21600,21600" arcsize="0.166666666666667" o:gfxdata="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AnKe8AAAA&#10;2wAAAA8AAAAAAAAAAQAgAAAAIgAAAGRycy9kb3ducmV2LnhtbFBLAQIUABQAAAAIAIdO4kAzLwWe&#10;OwAAADkAAAAQAAAAAAAAAAEAIAAAAAsBAABkcnMvc2hhcGV4bWwueG1sUEsFBgAAAAAGAAYAWwEA&#10;ALUDAAAAAA==&#10;">
                  <v:fill on="t" focussize="0,0"/>
                  <v:stroke weight="1pt" color="#FFFFFF" miterlimit="8" joinstyle="miter"/>
                  <v:imagedata o:title=""/>
                  <o:lock v:ext="edit" aspectratio="f"/>
                </v:roundrect>
                <v:shape id="TextBox 24" o:spid="_x0000_s1026" o:spt="202" type="#_x0000_t202" style="position:absolute;left:2592288;top:71995;height:367665;width:2880360;" filled="f" stroked="f" coordsize="21600,21600" o:gfxdata="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con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黑体" w:hAnsi="黑体" w:eastAsia="黑体"/>
                            <w:b/>
                            <w:bCs/>
                            <w:color w:val="000000"/>
                            <w:kern w:val="24"/>
                            <w:sz w:val="22"/>
                          </w:rPr>
                        </w:pPr>
                        <w:r>
                          <w:rPr>
                            <w:rFonts w:hint="eastAsia" w:ascii="黑体" w:hAnsi="黑体" w:eastAsia="黑体"/>
                            <w:b/>
                            <w:bCs/>
                            <w:color w:val="000000"/>
                            <w:kern w:val="24"/>
                            <w:sz w:val="22"/>
                          </w:rPr>
                          <w:t>任务一：宣传启动阶段</w:t>
                        </w:r>
                      </w:p>
                    </w:txbxContent>
                  </v:textbox>
                </v:shape>
                <v:shape id="TextBox 25" o:spid="_x0000_s1026" o:spt="202" type="#_x0000_t202" style="position:absolute;left:72085;top:100336;height:1196413;width:1008565;"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ascii="黑体" w:hAnsi="黑体" w:eastAsia="黑体"/>
                            <w:b/>
                            <w:bCs/>
                            <w:color w:val="7030A0"/>
                            <w:spacing w:val="10"/>
                            <w:kern w:val="24"/>
                            <w:sz w:val="48"/>
                            <w:szCs w:val="48"/>
                          </w:rPr>
                        </w:pPr>
                        <w:r>
                          <w:rPr>
                            <w:rFonts w:hint="eastAsia" w:ascii="黑体" w:hAnsi="黑体" w:eastAsia="黑体"/>
                            <w:b/>
                            <w:bCs/>
                            <w:color w:val="7030A0"/>
                            <w:spacing w:val="10"/>
                            <w:kern w:val="24"/>
                            <w:sz w:val="48"/>
                            <w:szCs w:val="48"/>
                          </w:rPr>
                          <w:t>宣传启</w:t>
                        </w:r>
                        <w:r>
                          <w:rPr>
                            <w:rFonts w:hint="eastAsia" w:ascii="黑体" w:hAnsi="黑体" w:eastAsia="黑体"/>
                            <w:b/>
                            <w:bCs/>
                            <w:color w:val="7030A0"/>
                            <w:spacing w:val="10"/>
                            <w:kern w:val="24"/>
                            <w:sz w:val="48"/>
                            <w:szCs w:val="48"/>
                            <w:lang w:val="en-US" w:eastAsia="zh-CN"/>
                          </w:rPr>
                          <w:t xml:space="preserve"> </w:t>
                        </w:r>
                        <w:r>
                          <w:rPr>
                            <w:rFonts w:hint="eastAsia" w:ascii="黑体" w:hAnsi="黑体" w:eastAsia="黑体"/>
                            <w:b/>
                            <w:bCs/>
                            <w:color w:val="7030A0"/>
                            <w:spacing w:val="10"/>
                            <w:kern w:val="24"/>
                            <w:sz w:val="48"/>
                            <w:szCs w:val="48"/>
                          </w:rPr>
                          <w:t>动</w:t>
                        </w:r>
                      </w:p>
                    </w:txbxContent>
                  </v:textbox>
                </v:shape>
                <v:rect id="矩形 21602" o:spid="_x0000_s1026" o:spt="1" style="position:absolute;left:1008112;top:1800200;height:2088232;width:5616624;v-text-anchor:middle;" filled="f" stroked="t" coordsize="21600,21600" o:gfxdata="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pJZvQAA&#10;ANsAAAAPAAAAAAAAAAEAIAAAACIAAABkcnMvZG93bnJldi54bWxQSwECFAAUAAAACACHTuJAMy8F&#10;njsAAAA5AAAAEAAAAAAAAAABACAAAAAMAQAAZHJzL3NoYXBleG1sLnhtbFBLBQYAAAAABgAGAFsB&#10;AAC2AwAAAAA=&#10;">
                  <v:fill on="f" focussize="0,0"/>
                  <v:stroke weight="1.5pt" color="#0070C0" miterlimit="8" joinstyle="miter" dashstyle="dashDot"/>
                  <v:imagedata o:title=""/>
                  <o:lock v:ext="edit" aspectratio="f"/>
                </v:rect>
                <v:rect id="矩形 21603" o:spid="_x0000_s1026" o:spt="1" style="position:absolute;left:1152128;top:2088232;height:1440160;width:2376264;v-text-anchor:middle;" filled="f" stroked="t" coordsize="21600,21600" o:gfxdata="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oKXrgAAADbAAAA&#10;DwAAAAAAAAABACAAAAAiAAAAZHJzL2Rvd25yZXYueG1sUEsBAhQAFAAAAAgAh07iQDMvBZ47AAAA&#10;OQAAABAAAAAAAAAAAQAgAAAABwEAAGRycy9zaGFwZXhtbC54bWxQSwUGAAAAAAYABgBbAQAAsQMA&#10;AAAA&#10;">
                  <v:fill on="f" focussize="0,0"/>
                  <v:stroke weight="1.25pt" color="#0070C0" miterlimit="8" joinstyle="miter" dashstyle="dash"/>
                  <v:imagedata o:title=""/>
                  <o:lock v:ext="edit" aspectratio="f"/>
                </v:rect>
                <v:rect id="矩形 21604" o:spid="_x0000_s1026" o:spt="1" style="position:absolute;left:3888432;top:2088232;height:1440160;width:2448272;v-text-anchor:middle;" filled="f" stroked="t" coordsize="21600,21600" o:gfxdata="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olCm8AAAA&#10;2wAAAA8AAAAAAAAAAQAgAAAAIgAAAGRycy9kb3ducmV2LnhtbFBLAQIUABQAAAAIAIdO4kAzLwWe&#10;OwAAADkAAAAQAAAAAAAAAAEAIAAAAAsBAABkcnMvc2hhcGV4bWwueG1sUEsFBgAAAAAGAAYAWwEA&#10;ALUDAAAAAA==&#10;">
                  <v:fill on="f" focussize="0,0"/>
                  <v:stroke weight="1.25pt" color="#0070C0" miterlimit="8" joinstyle="miter" dashstyle="dash"/>
                  <v:imagedata o:title=""/>
                  <o:lock v:ext="edit" aspectratio="f"/>
                </v:rect>
                <v:roundrect id="圆角矩形 95" o:spid="_x0000_s1026" o:spt="2" style="position:absolute;left:1296144;top:1944216;height:360040;width:2016224;v-text-anchor:middle;" fillcolor="#FF99FF" filled="t" stroked="t" coordsize="21600,21600" arcsize="0.166666666666667" o:gfxdata="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Tm12/&#10;AAAA2wAAAA8AAAAAAAAAAQAgAAAAIgAAAGRycy9kb3ducmV2LnhtbFBLAQIUABQAAAAIAIdO4kAz&#10;LwWeOwAAADkAAAAQAAAAAAAAAAEAIAAAAA4BAABkcnMvc2hhcGV4bWwueG1sUEsFBgAAAAAGAAYA&#10;WwEAALgDAAAAAA==&#10;">
                  <v:fill on="t" focussize="0,0"/>
                  <v:stroke weight="1pt" color="#FFFFFF" miterlimit="8" joinstyle="miter"/>
                  <v:imagedata o:title=""/>
                  <o:lock v:ext="edit" aspectratio="f"/>
                </v:roundrect>
                <v:shape id="TextBox 30" o:spid="_x0000_s1026" o:spt="202" type="#_x0000_t202" style="position:absolute;left:1408410;top:1943748;height:367665;width:1976120;" filled="f" stroked="f" coordsize="21600,21600" o:gfxdata="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H3e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黑体" w:hAnsi="黑体" w:eastAsia="黑体"/>
                            <w:b/>
                            <w:bCs/>
                            <w:color w:val="000000"/>
                            <w:kern w:val="24"/>
                            <w:sz w:val="22"/>
                          </w:rPr>
                        </w:pPr>
                        <w:r>
                          <w:rPr>
                            <w:rFonts w:hint="eastAsia" w:ascii="黑体" w:hAnsi="黑体" w:eastAsia="黑体"/>
                            <w:b/>
                            <w:bCs/>
                            <w:color w:val="000000"/>
                            <w:kern w:val="24"/>
                            <w:sz w:val="22"/>
                          </w:rPr>
                          <w:t>任务二、标准体系编制</w:t>
                        </w:r>
                      </w:p>
                    </w:txbxContent>
                  </v:textbox>
                </v:shape>
                <v:roundrect id="圆角矩形 97" o:spid="_x0000_s1026" o:spt="2" style="position:absolute;left:4176464;top:1944216;height:360040;width:2016224;v-text-anchor:middle;" fillcolor="#FF99FF" filled="t" stroked="t" coordsize="21600,21600" arcsize="0.166666666666667" o:gfxdata="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AqrS/&#10;AAAA2wAAAA8AAAAAAAAAAQAgAAAAIgAAAGRycy9kb3ducmV2LnhtbFBLAQIUABQAAAAIAIdO4kAz&#10;LwWeOwAAADkAAAAQAAAAAAAAAAEAIAAAAA4BAABkcnMvc2hhcGV4bWwueG1sUEsFBgAAAAAGAAYA&#10;WwEAALgDAAAAAA==&#10;">
                  <v:fill on="t" focussize="0,0"/>
                  <v:stroke weight="1pt" color="#FFFFFF" miterlimit="8" joinstyle="miter"/>
                  <v:imagedata o:title=""/>
                  <o:lock v:ext="edit" aspectratio="f"/>
                </v:roundrect>
                <v:shape id="TextBox 33" o:spid="_x0000_s1026" o:spt="202" type="#_x0000_t202" style="position:absolute;left:4320480;top:1945018;height:367665;width:1976120;"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黑体" w:hAnsi="黑体" w:eastAsia="黑体"/>
                            <w:b/>
                            <w:bCs/>
                            <w:color w:val="000000"/>
                            <w:kern w:val="24"/>
                            <w:sz w:val="22"/>
                          </w:rPr>
                        </w:pPr>
                        <w:r>
                          <w:rPr>
                            <w:rFonts w:hint="eastAsia" w:ascii="黑体" w:hAnsi="黑体" w:eastAsia="黑体"/>
                            <w:b/>
                            <w:bCs/>
                            <w:color w:val="000000"/>
                            <w:kern w:val="24"/>
                            <w:sz w:val="22"/>
                          </w:rPr>
                          <w:t>任务三、重要标准研制</w:t>
                        </w:r>
                      </w:p>
                    </w:txbxContent>
                  </v:textbox>
                </v:shape>
                <v:shape id="六边形 21609" o:spid="_x0000_s1026" o:spt="9" type="#_x0000_t9" style="position:absolute;left:1224136;top:2520280;height:504056;width:720080;v-text-anchor:middle;" fillcolor="#FFC000" filled="t" stroked="t" coordsize="21600,21600" o:gfxdata="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SuaS8AAAA&#10;2wAAAA8AAAAAAAAAAQAgAAAAIgAAAGRycy9kb3ducmV2LnhtbFBLAQIUABQAAAAIAIdO4kAzLwWe&#10;OwAAADkAAAAQAAAAAAAAAAEAIAAAAAsBAABkcnMvc2hhcGV4bWwueG1sUEsFBgAAAAAGAAYAWwEA&#10;ALUDAAAAAA==&#10;" adj="3533">
                  <v:fill on="t" focussize="0,0"/>
                  <v:stroke weight="1pt" color="#2F528F" miterlimit="8" joinstyle="miter"/>
                  <v:imagedata o:title=""/>
                  <o:lock v:ext="edit" aspectratio="f"/>
                </v:shape>
                <v:shape id="TextBox 35" o:spid="_x0000_s1026" o:spt="202" type="#_x0000_t202" style="position:absolute;left:1250919;top:2576986;height:345461;width:648141;" filled="f" stroked="f" coordsize="21600,21600" o:gfxdata="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6+Q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标准体系框架</w:t>
                        </w:r>
                      </w:p>
                    </w:txbxContent>
                  </v:textbox>
                </v:shape>
                <v:shape id="六边形 21611" o:spid="_x0000_s1026" o:spt="9" type="#_x0000_t9" style="position:absolute;left:2016224;top:2520280;height:504056;width:720080;v-text-anchor:middle;" fillcolor="#FFC000" filled="t" stroked="t" coordsize="21600,21600" o:gfxdata="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TIJIvQAA&#10;ANsAAAAPAAAAAAAAAAEAIAAAACIAAABkcnMvZG93bnJldi54bWxQSwECFAAUAAAACACHTuJAMy8F&#10;njsAAAA5AAAAEAAAAAAAAAABACAAAAAMAQAAZHJzL3NoYXBleG1sLnhtbFBLBQYAAAAABgAGAFsB&#10;AAC2AwAAAAA=&#10;" adj="3533">
                  <v:fill on="t" focussize="0,0"/>
                  <v:stroke weight="1pt" color="#2F528F" miterlimit="8" joinstyle="miter"/>
                  <v:imagedata o:title=""/>
                  <o:lock v:ext="edit" aspectratio="f"/>
                </v:shape>
                <v:shape id="TextBox 37" o:spid="_x0000_s1026" o:spt="202" type="#_x0000_t202" style="position:absolute;left:2012780;top:2582067;height:345461;width:715876;"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标准明细表</w:t>
                        </w:r>
                      </w:p>
                    </w:txbxContent>
                  </v:textbox>
                </v:shape>
                <v:shape id="六边形 21613" o:spid="_x0000_s1026" o:spt="9" type="#_x0000_t9" style="position:absolute;left:2808312;top:2520280;height:504056;width:720080;v-text-anchor:middle;" fillcolor="#FFC000" filled="t" stroked="t" coordsize="21600,21600" o:gfxdata="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6b+nvQAA&#10;ANsAAAAPAAAAAAAAAAEAIAAAACIAAABkcnMvZG93bnJldi54bWxQSwECFAAUAAAACACHTuJAMy8F&#10;njsAAAA5AAAAEAAAAAAAAAABACAAAAAMAQAAZHJzL3NoYXBleG1sLnhtbFBLBQYAAAAABgAGAFsB&#10;AAC2AwAAAAA=&#10;" adj="3533">
                  <v:fill on="t" focussize="0,0"/>
                  <v:stroke weight="1pt" color="#2F528F" miterlimit="8" joinstyle="miter"/>
                  <v:imagedata o:title=""/>
                  <o:lock v:ext="edit" aspectratio="f"/>
                </v:shape>
                <v:shape id="TextBox 39" o:spid="_x0000_s1026" o:spt="202" type="#_x0000_t202" style="position:absolute;left:2868295;top:2582099;height:345461;width:659765;"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标准统计表</w:t>
                        </w:r>
                      </w:p>
                    </w:txbxContent>
                  </v:textbox>
                </v:shape>
                <v:shape id="六边形 21615" o:spid="_x0000_s1026" o:spt="9" type="#_x0000_t9" style="position:absolute;left:3960440;top:2520280;height:504056;width:720080;v-text-anchor:middle;" fillcolor="#FFC000" filled="t" stroked="t" coordsize="21600,21600" o:gfxdata="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4RLvQAA&#10;ANsAAAAPAAAAAAAAAAEAIAAAACIAAABkcnMvZG93bnJldi54bWxQSwECFAAUAAAACACHTuJAMy8F&#10;njsAAAA5AAAAEAAAAAAAAAABACAAAAAMAQAAZHJzL3NoYXBleG1sLnhtbFBLBQYAAAAABgAGAFsB&#10;AAC2AwAAAAA=&#10;" adj="3533">
                  <v:fill on="t" focussize="0,0"/>
                  <v:stroke weight="1pt" color="#2F528F" miterlimit="8" joinstyle="miter"/>
                  <v:imagedata o:title=""/>
                  <o:lock v:ext="edit" aspectratio="f"/>
                </v:shape>
                <v:shape id="TextBox 41" o:spid="_x0000_s1026" o:spt="202" type="#_x0000_t202" style="position:absolute;left:3960440;top:2660824;height:218453;width:720090;" filled="f" stroked="f" coordsize="21600,21600" o:gfxdata="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BaJq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起草标准</w:t>
                        </w:r>
                      </w:p>
                    </w:txbxContent>
                  </v:textbox>
                </v:shape>
                <v:shape id="六边形 21617" o:spid="_x0000_s1026" o:spt="9" type="#_x0000_t9" style="position:absolute;left:4752528;top:2520280;height:504056;width:720080;v-text-anchor:middle;" fillcolor="#FFC000" filled="t" stroked="t" coordsize="21600,21600" o:gfxdata="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S1or4A&#10;AADbAAAADwAAAAAAAAABACAAAAAiAAAAZHJzL2Rvd25yZXYueG1sUEsBAhQAFAAAAAgAh07iQDMv&#10;BZ47AAAAOQAAABAAAAAAAAAAAQAgAAAADQEAAGRycy9zaGFwZXhtbC54bWxQSwUGAAAAAAYABgBb&#10;AQAAtwMAAAAA&#10;" adj="3533">
                  <v:fill on="t" focussize="0,0"/>
                  <v:stroke weight="1pt" color="#2F528F" miterlimit="8" joinstyle="miter"/>
                  <v:imagedata o:title=""/>
                  <o:lock v:ext="edit" aspectratio="f"/>
                </v:shape>
                <v:shape id="TextBox 43" o:spid="_x0000_s1026" o:spt="202" type="#_x0000_t202" style="position:absolute;left:4771454;top:2660824;height:218453;width:720090;"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征求意见</w:t>
                        </w:r>
                      </w:p>
                    </w:txbxContent>
                  </v:textbox>
                </v:shape>
                <v:shape id="六边形 21619" o:spid="_x0000_s1026" o:spt="9" type="#_x0000_t9" style="position:absolute;left:5544616;top:2520280;height:504056;width:720080;v-text-anchor:middle;" fillcolor="#FFC000" filled="t" stroked="t" coordsize="21600,21600" o:gfxdata="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yZ7rsAAADc&#10;AAAADwAAAAAAAAABACAAAAAiAAAAZHJzL2Rvd25yZXYueG1sUEsBAhQAFAAAAAgAh07iQDMvBZ47&#10;AAAAOQAAABAAAAAAAAAAAQAgAAAACgEAAGRycy9zaGFwZXhtbC54bWxQSwUGAAAAAAYABgBbAQAA&#10;tAMAAAAA&#10;" adj="3533">
                  <v:fill on="t" focussize="0,0"/>
                  <v:stroke weight="1pt" color="#2F528F" miterlimit="8" joinstyle="miter"/>
                  <v:imagedata o:title=""/>
                  <o:lock v:ext="edit" aspectratio="f"/>
                </v:shape>
                <v:shape id="TextBox 45" o:spid="_x0000_s1026" o:spt="202" type="#_x0000_t202" style="position:absolute;left:5584874;top:2646822;height:218453;width:720090;" filled="f" stroked="f" coordsize="21600,21600" o:gfxdata="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kCOB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审核发布</w:t>
                        </w:r>
                      </w:p>
                    </w:txbxContent>
                  </v:textbox>
                </v:shape>
                <v:rect id="矩形 21621" o:spid="_x0000_s1026" o:spt="1" style="position:absolute;left:1008112;top:4558208;height:914400;width:5616624;v-text-anchor:middle;" filled="f" stroked="t" coordsize="21600,21600" o:gfxdata="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qarugAAANwA&#10;AAAPAAAAAAAAAAEAIAAAACIAAABkcnMvZG93bnJldi54bWxQSwECFAAUAAAACACHTuJAMy8FnjsA&#10;AAA5AAAAEAAAAAAAAAABACAAAAAJAQAAZHJzL3NoYXBleG1sLnhtbFBLBQYAAAAABgAGAFsBAACz&#10;AwAAAAA=&#10;">
                  <v:fill on="f" focussize="0,0"/>
                  <v:stroke weight="1.5pt" color="#0070C0" miterlimit="8" joinstyle="miter" dashstyle="dashDot"/>
                  <v:imagedata o:title=""/>
                  <o:lock v:ext="edit" aspectratio="f"/>
                </v:rect>
                <v:rect id="矩形 21622" o:spid="_x0000_s1026" o:spt="1" style="position:absolute;left:1078164;top:4774220;height:431826;width:912245;v-text-anchor:middle;" filled="f" stroked="t" coordsize="21600,21600" o:gfxdata="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dmILugAAANwA&#10;AAAPAAAAAAAAAAEAIAAAACIAAABkcnMvZG93bnJldi54bWxQSwECFAAUAAAACACHTuJAMy8FnjsA&#10;AAA5AAAAEAAAAAAAAAABACAAAAAJAQAAZHJzL3NoYXBleG1sLnhtbFBLBQYAAAAABgAGAFsBAACz&#10;AwAAAAA=&#10;">
                  <v:fill on="f" focussize="0,0"/>
                  <v:stroke weight="1pt" color="#0070C0" miterlimit="8" joinstyle="miter"/>
                  <v:imagedata o:title=""/>
                  <o:lock v:ext="edit" aspectratio="f"/>
                </v:rect>
                <v:rect id="矩形 21623" o:spid="_x0000_s1026" o:spt="1" style="position:absolute;left:2281854;top:4774220;height:431826;width:840781;v-text-anchor:middle;" filled="f" stroked="t" coordsize="21600,21600" o:gfxdata="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OseQugAAANwA&#10;AAAPAAAAAAAAAAEAIAAAACIAAABkcnMvZG93bnJldi54bWxQSwECFAAUAAAACACHTuJAMy8FnjsA&#10;AAA5AAAAEAAAAAAAAAABACAAAAAJAQAAZHJzL3NoYXBleG1sLnhtbFBLBQYAAAAABgAGAFsBAACz&#10;AwAAAAA=&#10;">
                  <v:fill on="f" focussize="0,0"/>
                  <v:stroke weight="1pt" color="#0070C0" miterlimit="8" joinstyle="miter"/>
                  <v:imagedata o:title=""/>
                  <o:lock v:ext="edit" aspectratio="f"/>
                </v:rect>
                <v:rect id="矩形 21624" o:spid="_x0000_s1026" o:spt="1" style="position:absolute;left:3426510;top:4774220;height:431826;width:840781;v-text-anchor:middle;" filled="f" stroked="t" coordsize="21600,21600" o:gfxdata="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6FnnugAAANwA&#10;AAAPAAAAAAAAAAEAIAAAACIAAABkcnMvZG93bnJldi54bWxQSwECFAAUAAAACACHTuJAMy8FnjsA&#10;AAA5AAAAEAAAAAAAAAABACAAAAAJAQAAZHJzL3NoYXBleG1sLnhtbFBLBQYAAAAABgAGAFsBAACz&#10;AwAAAAA=&#10;">
                  <v:fill on="f" focussize="0,0"/>
                  <v:stroke weight="1pt" color="#0070C0" miterlimit="8" joinstyle="miter"/>
                  <v:imagedata o:title=""/>
                  <o:lock v:ext="edit" aspectratio="f"/>
                </v:rect>
                <v:shape id="TextBox 50" o:spid="_x0000_s1026" o:spt="202" type="#_x0000_t202" style="position:absolute;left:2251405;top:4810417;height:345461;width:899816;" filled="f" stroked="f" coordsize="21600,21600" o:gfxdata="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ngB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建立机制加强实施管理</w:t>
                        </w:r>
                      </w:p>
                    </w:txbxContent>
                  </v:textbox>
                </v:shape>
                <v:shape id="TextBox 51" o:spid="_x0000_s1026" o:spt="202" type="#_x0000_t202" style="position:absolute;left:3354425;top:4817402;height:345461;width:1007943;" filled="f" stroked="f" coordsize="21600,21600" o:gfxdata="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BR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开展内部实施情况检查</w:t>
                        </w:r>
                      </w:p>
                    </w:txbxContent>
                  </v:textbox>
                </v:shape>
                <v:group id="组合 21627" o:spid="_x0000_s1026" o:spt="203" style="position:absolute;left:4505295;top:4773585;height:432461;width:924052;" coordorigin="4505295,4773585" coordsize="924052,432461"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rect id="矩形 21628" o:spid="_x0000_s1026" o:spt="1" style="position:absolute;left:4566195;top:4774220;height:431826;width:840781;v-text-anchor:middle;" filled="f" stroked="t" coordsize="21600,21600" o:gfxdata="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U8tW8AAAA&#10;3AAAAA8AAAAAAAAAAQAgAAAAIgAAAGRycy9kb3ducmV2LnhtbFBLAQIUABQAAAAIAIdO4kAzLwWe&#10;OwAAADkAAAAQAAAAAAAAAAEAIAAAAAsBAABkcnMvc2hhcGV4bWwueG1sUEsFBgAAAAAGAAYAWwEA&#10;ALUDAAAAAA==&#10;">
                    <v:fill on="f" focussize="0,0"/>
                    <v:stroke weight="1pt" color="#0070C0" miterlimit="8" joinstyle="miter"/>
                    <v:imagedata o:title=""/>
                    <o:lock v:ext="edit" aspectratio="f"/>
                  </v:rect>
                  <v:shape id="TextBox 54" o:spid="_x0000_s1026" o:spt="202" type="#_x0000_t202" style="position:absolute;left:4505295;top:4773585;height:345461;width:924052;" filled="f" stroked="f" coordsize="21600,21600" o:gfxdata="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JsrK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开展宣贯培训强化实施效果</w:t>
                          </w:r>
                        </w:p>
                      </w:txbxContent>
                    </v:textbox>
                  </v:shape>
                </v:group>
                <v:rect id="矩形 21630" o:spid="_x0000_s1026" o:spt="1" style="position:absolute;left:992408;top:4764694;height:472469;width:1066357;" filled="f" stroked="f" coordsize="21600,21600" o:gfxdata="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rMa6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多种形式对标准体系和标准进行宣贯培训</w:t>
                        </w:r>
                      </w:p>
                    </w:txbxContent>
                  </v:textbox>
                </v:rect>
                <v:group id="组合 21631" o:spid="_x0000_s1026" o:spt="203" style="position:absolute;left:5682282;top:4772714;height:433566;width:847393;" coordorigin="5682282,4772714" coordsize="847393,433566"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rect id="矩形 21632" o:spid="_x0000_s1026" o:spt="1" style="position:absolute;left:5688632;top:4774232;height:432048;width:841043;v-text-anchor:middle;" filled="f" stroked="t" coordsize="21600,21600" o:gfxdata="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r/TWugAAANwA&#10;AAAPAAAAAAAAAAEAIAAAACIAAABkcnMvZG93bnJldi54bWxQSwECFAAUAAAACACHTuJAMy8FnjsA&#10;AAA5AAAAEAAAAAAAAAABACAAAAAJAQAAZHJzL3NoYXBleG1sLnhtbFBLBQYAAAAABgAGAFsBAACz&#10;AwAAAAA=&#10;">
                    <v:fill on="f" focussize="0,0"/>
                    <v:stroke weight="1pt" color="#0070C0" miterlimit="8" joinstyle="miter"/>
                    <v:imagedata o:title=""/>
                    <o:lock v:ext="edit" aspectratio="f"/>
                  </v:rect>
                  <v:shape id="TextBox 62" o:spid="_x0000_s1026" o:spt="202" type="#_x0000_t202" style="position:absolute;left:5682282;top:4772714;height:345461;width:824003;"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黑体" w:hAnsi="黑体" w:eastAsia="黑体"/>
                              <w:color w:val="000000"/>
                              <w:kern w:val="24"/>
                              <w:sz w:val="20"/>
                              <w:szCs w:val="20"/>
                            </w:rPr>
                          </w:pPr>
                          <w:r>
                            <w:rPr>
                              <w:rFonts w:hint="eastAsia" w:ascii="黑体" w:hAnsi="黑体" w:eastAsia="黑体"/>
                              <w:color w:val="000000"/>
                              <w:kern w:val="24"/>
                              <w:sz w:val="20"/>
                              <w:szCs w:val="20"/>
                            </w:rPr>
                            <w:t>按照试点任务开展评价改进</w:t>
                          </w:r>
                        </w:p>
                      </w:txbxContent>
                    </v:textbox>
                  </v:shape>
                </v:group>
                <v:shape id="TextBox 63" o:spid="_x0000_s1026" o:spt="202" type="#_x0000_t202" style="position:absolute;left:0;top:2231835;height:1196340;width:1008380;"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黑体" w:hAnsi="黑体" w:eastAsia="黑体"/>
                            <w:b/>
                            <w:bCs/>
                            <w:color w:val="FF7300"/>
                            <w:spacing w:val="10"/>
                            <w:kern w:val="24"/>
                            <w:sz w:val="48"/>
                            <w:szCs w:val="48"/>
                          </w:rPr>
                        </w:pPr>
                        <w:r>
                          <w:rPr>
                            <w:rFonts w:hint="eastAsia" w:ascii="黑体" w:hAnsi="黑体" w:eastAsia="黑体"/>
                            <w:b/>
                            <w:bCs/>
                            <w:color w:val="FF7300"/>
                            <w:spacing w:val="10"/>
                            <w:kern w:val="24"/>
                            <w:sz w:val="48"/>
                            <w:szCs w:val="48"/>
                          </w:rPr>
                          <w:t>体系建</w:t>
                        </w:r>
                        <w:r>
                          <w:rPr>
                            <w:rFonts w:hint="eastAsia" w:ascii="黑体" w:hAnsi="黑体" w:eastAsia="黑体"/>
                            <w:b/>
                            <w:bCs/>
                            <w:color w:val="FF7300"/>
                            <w:spacing w:val="10"/>
                            <w:kern w:val="24"/>
                            <w:sz w:val="48"/>
                            <w:szCs w:val="48"/>
                            <w:lang w:val="en-US" w:eastAsia="zh-CN"/>
                          </w:rPr>
                          <w:t xml:space="preserve"> </w:t>
                        </w:r>
                        <w:r>
                          <w:rPr>
                            <w:rFonts w:hint="eastAsia" w:ascii="黑体" w:hAnsi="黑体" w:eastAsia="黑体"/>
                            <w:b/>
                            <w:bCs/>
                            <w:color w:val="FF7300"/>
                            <w:spacing w:val="10"/>
                            <w:kern w:val="24"/>
                            <w:sz w:val="48"/>
                            <w:szCs w:val="48"/>
                          </w:rPr>
                          <w:t>设</w:t>
                        </w:r>
                      </w:p>
                    </w:txbxContent>
                  </v:textbox>
                </v:shape>
                <v:shape id="TextBox 64" o:spid="_x0000_s1026" o:spt="202" type="#_x0000_t202" style="position:absolute;left:0;top:4379226;height:1196413;width:1008565;" filled="f" stroked="f" coordsize="21600,21600" o:gfxdata="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s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黑体" w:hAnsi="黑体" w:eastAsia="黑体"/>
                            <w:b/>
                            <w:bCs/>
                            <w:color w:val="00CC66"/>
                            <w:spacing w:val="10"/>
                            <w:kern w:val="24"/>
                            <w:sz w:val="48"/>
                            <w:szCs w:val="48"/>
                          </w:rPr>
                        </w:pPr>
                        <w:r>
                          <w:rPr>
                            <w:rFonts w:hint="eastAsia" w:ascii="黑体" w:hAnsi="黑体" w:eastAsia="黑体"/>
                            <w:b/>
                            <w:bCs/>
                            <w:color w:val="00CC66"/>
                            <w:spacing w:val="10"/>
                            <w:kern w:val="24"/>
                            <w:sz w:val="48"/>
                            <w:szCs w:val="48"/>
                          </w:rPr>
                          <w:t>实施保</w:t>
                        </w:r>
                        <w:r>
                          <w:rPr>
                            <w:rFonts w:hint="eastAsia" w:ascii="黑体" w:hAnsi="黑体" w:eastAsia="黑体"/>
                            <w:b/>
                            <w:bCs/>
                            <w:color w:val="00CC66"/>
                            <w:spacing w:val="10"/>
                            <w:kern w:val="24"/>
                            <w:sz w:val="48"/>
                            <w:szCs w:val="48"/>
                            <w:lang w:val="en-US" w:eastAsia="zh-CN"/>
                          </w:rPr>
                          <w:t xml:space="preserve"> </w:t>
                        </w:r>
                        <w:r>
                          <w:rPr>
                            <w:rFonts w:hint="eastAsia" w:ascii="黑体" w:hAnsi="黑体" w:eastAsia="黑体"/>
                            <w:b/>
                            <w:bCs/>
                            <w:color w:val="00CC66"/>
                            <w:spacing w:val="10"/>
                            <w:kern w:val="24"/>
                            <w:sz w:val="48"/>
                            <w:szCs w:val="48"/>
                          </w:rPr>
                          <w:t>障</w:t>
                        </w:r>
                      </w:p>
                    </w:txbxContent>
                  </v:textbox>
                </v:shape>
                <v:roundrect id="圆角矩形 126" o:spid="_x0000_s1026" o:spt="2" style="position:absolute;left:1224136;top:4342184;height:360040;width:2016224;v-text-anchor:middle;" fillcolor="#00CC66" filled="t" stroked="t" coordsize="21600,21600" arcsize="0.166666666666667" o:gfxdata="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x8cK/&#10;AAAA3AAAAA8AAAAAAAAAAQAgAAAAIgAAAGRycy9kb3ducmV2LnhtbFBLAQIUABQAAAAIAIdO4kAz&#10;LwWeOwAAADkAAAAQAAAAAAAAAAEAIAAAAA4BAABkcnMvc2hhcGV4bWwueG1sUEsFBgAAAAAGAAYA&#10;WwEAALgDAAAAAA==&#10;">
                  <v:fill on="t" focussize="0,0"/>
                  <v:stroke weight="1pt" color="#FFFFFF" miterlimit="8" joinstyle="miter"/>
                  <v:imagedata o:title=""/>
                  <o:lock v:ext="edit" aspectratio="f"/>
                </v:roundrect>
                <v:shape id="TextBox 66" o:spid="_x0000_s1026" o:spt="202" type="#_x0000_t202" style="position:absolute;left:1224136;top:4342710;height:367665;width:1976120;"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黑体" w:hAnsi="黑体" w:eastAsia="黑体"/>
                            <w:b/>
                            <w:bCs/>
                            <w:color w:val="000000"/>
                            <w:kern w:val="24"/>
                            <w:sz w:val="22"/>
                          </w:rPr>
                        </w:pPr>
                        <w:r>
                          <w:rPr>
                            <w:rFonts w:hint="eastAsia" w:ascii="黑体" w:hAnsi="黑体" w:eastAsia="黑体"/>
                            <w:b/>
                            <w:bCs/>
                            <w:color w:val="000000"/>
                            <w:kern w:val="24"/>
                            <w:sz w:val="22"/>
                          </w:rPr>
                          <w:t>任务四、组织实施阶段</w:t>
                        </w:r>
                      </w:p>
                    </w:txbxContent>
                  </v:textbox>
                </v:shape>
                <v:shape id="下箭头 128" o:spid="_x0000_s1026" o:spt="67" type="#_x0000_t67" style="position:absolute;left:3456384;top:1152128;height:648072;width:484632;v-text-anchor:middle;" fillcolor="#3399FF" filled="t" stroked="t" coordsize="21600,21600" o:gfxdata="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2eeb4A&#10;AADcAAAADwAAAAAAAAABACAAAAAiAAAAZHJzL2Rvd25yZXYueG1sUEsBAhQAFAAAAAgAh07iQDMv&#10;BZ47AAAAOQAAABAAAAAAAAAAAQAgAAAADQEAAGRycy9zaGFwZXhtbC54bWxQSwUGAAAAAAYABgBb&#10;AQAAtwMAAAAA&#10;" adj="13525,5400">
                  <v:fill on="t" focussize="0,0"/>
                  <v:stroke weight="1pt" color="#2F528F" miterlimit="8" joinstyle="miter"/>
                  <v:imagedata o:title=""/>
                  <o:lock v:ext="edit" aspectratio="f"/>
                </v:shape>
                <v:shape id="下箭头 129" o:spid="_x0000_s1026" o:spt="67" type="#_x0000_t67" style="position:absolute;left:3528392;top:3888432;height:648072;width:484632;v-text-anchor:middle;" fillcolor="#3399FF" filled="t" stroked="t" coordsize="21600,21600" o:gfxdata="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cTvivQAA&#10;ANwAAAAPAAAAAAAAAAEAIAAAACIAAABkcnMvZG93bnJldi54bWxQSwECFAAUAAAACACHTuJAMy8F&#10;njsAAAA5AAAAEAAAAAAAAAABACAAAAAMAQAAZHJzL3NoYXBleG1sLnhtbFBLBQYAAAAABgAGAFsB&#10;AAC2AwAAAAA=&#10;" adj="13525,5400">
                  <v:fill on="t" focussize="0,0"/>
                  <v:stroke weight="1pt" color="#2F528F" miterlimit="8" joinstyle="miter"/>
                  <v:imagedata o:title=""/>
                  <o:lock v:ext="edit" aspectratio="f"/>
                </v:shape>
                <v:shape id="TextBox 70" o:spid="_x0000_s1026" o:spt="202" type="#_x0000_t202" style="position:absolute;left:6840760;top:1876221;height:2301240;width:504190;" filled="f" stroked="f" coordsize="21600,21600" o:gfxdata="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lf+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黑体" w:hAnsi="黑体" w:eastAsia="黑体"/>
                            <w:b/>
                            <w:bCs/>
                            <w:color w:val="0070C0"/>
                            <w:spacing w:val="10"/>
                            <w:kern w:val="24"/>
                            <w:sz w:val="48"/>
                            <w:szCs w:val="48"/>
                          </w:rPr>
                        </w:pPr>
                        <w:r>
                          <w:rPr>
                            <w:rFonts w:hint="eastAsia" w:ascii="黑体" w:hAnsi="黑体" w:eastAsia="黑体"/>
                            <w:b/>
                            <w:bCs/>
                            <w:color w:val="0070C0"/>
                            <w:spacing w:val="10"/>
                            <w:kern w:val="24"/>
                            <w:sz w:val="48"/>
                            <w:szCs w:val="48"/>
                          </w:rPr>
                          <w:t>整体提升</w:t>
                        </w:r>
                      </w:p>
                    </w:txbxContent>
                  </v:textbox>
                </v:shape>
                <v:shape id="TextBox 72" o:spid="_x0000_s1026" o:spt="202" type="#_x0000_t202" style="position:absolute;left:7470140;top:448244;height:8930640;width:1826304;"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480" w:lineRule="auto"/>
                          <w:rPr>
                            <w:rFonts w:ascii="黑体" w:hAnsi="黑体" w:eastAsia="黑体"/>
                            <w:b/>
                            <w:bCs/>
                            <w:color w:val="000000"/>
                            <w:kern w:val="24"/>
                            <w:sz w:val="24"/>
                            <w:szCs w:val="24"/>
                          </w:rPr>
                        </w:pPr>
                        <w:r>
                          <w:rPr>
                            <w:rFonts w:hint="eastAsia" w:ascii="黑体" w:hAnsi="黑体" w:eastAsia="黑体"/>
                            <w:b/>
                            <w:bCs/>
                            <w:color w:val="000000"/>
                            <w:kern w:val="24"/>
                            <w:sz w:val="24"/>
                            <w:szCs w:val="24"/>
                          </w:rPr>
                          <w:t>任务五、总结验收阶段：</w:t>
                        </w:r>
                      </w:p>
                      <w:p>
                        <w:pPr>
                          <w:rPr>
                            <w:rFonts w:ascii="黑体" w:hAnsi="黑体" w:eastAsia="黑体"/>
                            <w:b/>
                            <w:bCs/>
                            <w:color w:val="000000"/>
                            <w:kern w:val="24"/>
                            <w:sz w:val="20"/>
                            <w:szCs w:val="20"/>
                          </w:rPr>
                        </w:pPr>
                        <w:r>
                          <w:rPr>
                            <w:rFonts w:hint="eastAsia" w:ascii="黑体" w:hAnsi="黑体" w:eastAsia="黑体"/>
                            <w:b/>
                            <w:bCs/>
                            <w:color w:val="000000"/>
                            <w:kern w:val="24"/>
                            <w:sz w:val="20"/>
                            <w:szCs w:val="20"/>
                          </w:rPr>
                          <w:t>1.对标准化试点进行全面总结，确认成功经验和做法，查找和分析问题与不足，提出改进措施。</w:t>
                        </w:r>
                      </w:p>
                      <w:p>
                        <w:pPr>
                          <w:rPr>
                            <w:rFonts w:ascii="黑体" w:hAnsi="黑体" w:eastAsia="黑体"/>
                            <w:b/>
                            <w:bCs/>
                            <w:color w:val="000000"/>
                            <w:kern w:val="24"/>
                            <w:sz w:val="20"/>
                            <w:szCs w:val="20"/>
                          </w:rPr>
                        </w:pPr>
                        <w:r>
                          <w:rPr>
                            <w:rFonts w:hint="eastAsia" w:ascii="黑体" w:hAnsi="黑体" w:eastAsia="黑体"/>
                            <w:b/>
                            <w:bCs/>
                            <w:color w:val="000000"/>
                            <w:kern w:val="24"/>
                            <w:sz w:val="20"/>
                            <w:szCs w:val="20"/>
                          </w:rPr>
                          <w:t>2.由领导小组办公室组织对标准化实施情况进行初验，收集整理材料，汇编成册，提请正式验收。</w:t>
                        </w:r>
                      </w:p>
                      <w:p>
                        <w:pPr>
                          <w:rPr>
                            <w:rFonts w:ascii="黑体" w:hAnsi="黑体" w:eastAsia="黑体"/>
                            <w:b/>
                            <w:bCs/>
                            <w:color w:val="000000"/>
                            <w:kern w:val="24"/>
                            <w:sz w:val="20"/>
                            <w:szCs w:val="20"/>
                          </w:rPr>
                        </w:pPr>
                        <w:r>
                          <w:rPr>
                            <w:rFonts w:hint="eastAsia" w:ascii="黑体" w:hAnsi="黑体" w:eastAsia="黑体"/>
                            <w:b/>
                            <w:bCs/>
                            <w:color w:val="000000"/>
                            <w:kern w:val="24"/>
                            <w:sz w:val="20"/>
                            <w:szCs w:val="20"/>
                          </w:rPr>
                          <w:t>3.创建标准化试点品牌，积极开展“标准提升服务质量行动”，以标准化、规范化管理为手段，以提高服务质量和水平为目的，争创本行业服务品牌，并推广应用。</w:t>
                        </w:r>
                      </w:p>
                    </w:txbxContent>
                  </v:textbox>
                </v:shape>
                <v:shape id="TextBox 73" o:spid="_x0000_s1026" o:spt="202" type="#_x0000_t202" style="position:absolute;left:2664296;top:1276209;height:367665;width:1296035;"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黑体" w:hAnsi="黑体" w:eastAsia="黑体"/>
                            <w:b/>
                            <w:bCs/>
                            <w:color w:val="000000"/>
                            <w:kern w:val="24"/>
                            <w:sz w:val="28"/>
                            <w:szCs w:val="28"/>
                          </w:rPr>
                        </w:pPr>
                        <w:r>
                          <w:rPr>
                            <w:rFonts w:hint="eastAsia" w:ascii="黑体" w:hAnsi="黑体" w:eastAsia="黑体"/>
                            <w:b/>
                            <w:bCs/>
                            <w:color w:val="000000"/>
                            <w:kern w:val="24"/>
                            <w:sz w:val="28"/>
                            <w:szCs w:val="28"/>
                          </w:rPr>
                          <w:t>顶层设计</w:t>
                        </w:r>
                      </w:p>
                    </w:txbxContent>
                  </v:textbox>
                </v:shape>
                <v:shape id="TextBox 74" o:spid="_x0000_s1026" o:spt="202" type="#_x0000_t202" style="position:absolute;left:3955339;top:4103619;height:367687;width:1296282;"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黑体" w:hAnsi="黑体" w:eastAsia="黑体"/>
                            <w:b/>
                            <w:bCs/>
                            <w:color w:val="000000"/>
                            <w:kern w:val="24"/>
                            <w:sz w:val="28"/>
                            <w:szCs w:val="28"/>
                          </w:rPr>
                        </w:pPr>
                        <w:r>
                          <w:rPr>
                            <w:rFonts w:hint="eastAsia" w:ascii="黑体" w:hAnsi="黑体" w:eastAsia="黑体"/>
                            <w:b/>
                            <w:bCs/>
                            <w:color w:val="000000"/>
                            <w:kern w:val="24"/>
                            <w:sz w:val="28"/>
                            <w:szCs w:val="28"/>
                          </w:rPr>
                          <w:t>组织实施</w:t>
                        </w:r>
                      </w:p>
                    </w:txbxContent>
                  </v:textbox>
                </v:shape>
                <v:shape id="右箭头 134" o:spid="_x0000_s1026" o:spt="13" type="#_x0000_t13" style="position:absolute;left:3071679;top:504221;height:288307;width:266589;v-text-anchor:middle;" fillcolor="#3399FF" filled="t" stroked="t" coordsize="21600,21600" o:gfxdata="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HPD74A&#10;AADcAAAADwAAAAAAAAABACAAAAAiAAAAZHJzL2Rvd25yZXYueG1sUEsBAhQAFAAAAAgAh07iQDMv&#10;BZ47AAAAOQAAABAAAAAAAAAAAQAgAAAADQEAAGRycy9zaGFwZXhtbC54bWxQSwUGAAAAAAYABgBb&#10;AQAAtwMAAAAA&#10;" adj="10800,5400">
                  <v:fill on="t" focussize="0,0"/>
                  <v:stroke weight="1pt" color="#2F528F" miterlimit="8" joinstyle="miter"/>
                  <v:imagedata o:title=""/>
                  <o:lock v:ext="edit" aspectratio="f"/>
                </v:shape>
                <v:shape id="右箭头 135" o:spid="_x0000_s1026" o:spt="13" type="#_x0000_t13" style="position:absolute;left:4195207;top:504221;height:288307;width:266589;v-text-anchor:middle;" fillcolor="#3399FF" filled="t" stroked="t" coordsize="21600,21600" o:gfxdata="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dapS/&#10;AAAA3AAAAA8AAAAAAAAAAQAgAAAAIgAAAGRycy9kb3ducmV2LnhtbFBLAQIUABQAAAAIAIdO4kAz&#10;LwWeOwAAADkAAAAQAAAAAAAAAAEAIAAAAA4BAABkcnMvc2hhcGV4bWwueG1sUEsFBgAAAAAGAAYA&#10;WwEAALgDAAAAAA==&#10;" adj="10800,5400">
                  <v:fill on="t" focussize="0,0"/>
                  <v:stroke weight="1pt" color="#2F528F" miterlimit="8" joinstyle="miter"/>
                  <v:imagedata o:title=""/>
                  <o:lock v:ext="edit" aspectratio="f"/>
                </v:shape>
                <v:shape id="右箭头 136" o:spid="_x0000_s1026" o:spt="13" type="#_x0000_t13" style="position:absolute;left:5405808;top:504056;height:288032;width:266696;v-text-anchor:middle;" fillcolor="#3399FF" filled="t" stroked="t" coordsize="21600,21600" o:gfxdata="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gv7mvQAA&#10;ANwAAAAPAAAAAAAAAAEAIAAAACIAAABkcnMvZG93bnJldi54bWxQSwECFAAUAAAACACHTuJAMy8F&#10;njsAAAA5AAAAEAAAAAAAAAABACAAAAAMAQAAZHJzL3NoYXBleG1sLnhtbFBLBQYAAAAABgAGAFsB&#10;AAC2AwAAAAA=&#10;" adj="10800,5400">
                  <v:fill on="t" focussize="0,0"/>
                  <v:stroke weight="1pt" color="#2F528F" miterlimit="8" joinstyle="miter"/>
                  <v:imagedata o:title=""/>
                  <o:lock v:ext="edit" aspectratio="f"/>
                </v:shape>
                <v:shape id="右箭头 137" o:spid="_x0000_s1026" o:spt="13" type="#_x0000_t13" style="position:absolute;left:3140036;top:4824388;height:288307;width:266589;v-text-anchor:middle;" fillcolor="#3399FF" filled="t" stroked="t" coordsize="21600,21600" o:gfxdata="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OW32/&#10;AAAA3AAAAA8AAAAAAAAAAQAgAAAAIgAAAGRycy9kb3ducmV2LnhtbFBLAQIUABQAAAAIAIdO4kAz&#10;LwWeOwAAADkAAAAQAAAAAAAAAAEAIAAAAA4BAABkcnMvc2hhcGV4bWwueG1sUEsFBgAAAAAGAAYA&#10;WwEAALgDAAAAAA==&#10;" adj="10800,5400">
                  <v:fill on="t" focussize="0,0"/>
                  <v:stroke weight="1pt" color="#2F528F" miterlimit="8" joinstyle="miter"/>
                  <v:imagedata o:title=""/>
                  <o:lock v:ext="edit" aspectratio="f"/>
                </v:shape>
                <v:shape id="右箭头 138" o:spid="_x0000_s1026" o:spt="13" type="#_x0000_t13" style="position:absolute;left:1973009;top:504221;height:288307;width:266589;v-text-anchor:middle;" fillcolor="#3399FF" filled="t" stroked="t" coordsize="21600,21600" o:gfxdata="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LWQ9vQAA&#10;ANwAAAAPAAAAAAAAAAEAIAAAACIAAABkcnMvZG93bnJldi54bWxQSwECFAAUAAAACACHTuJAMy8F&#10;njsAAAA5AAAAEAAAAAAAAAABACAAAAAMAQAAZHJzL3NoYXBleG1sLnhtbFBLBQYAAAAABgAGAFsB&#10;AAC2AwAAAAA=&#10;" adj="10800,5400">
                  <v:fill on="t" focussize="0,0"/>
                  <v:stroke weight="1pt" color="#2F528F" miterlimit="8" joinstyle="miter"/>
                  <v:imagedata o:title=""/>
                  <o:lock v:ext="edit" aspectratio="f"/>
                </v:shape>
                <v:shape id="右箭头 139" o:spid="_x0000_s1026" o:spt="13" type="#_x0000_t13" style="position:absolute;left:5430590;top:4824388;height:288307;width:266589;v-text-anchor:middle;" fillcolor="#3399FF" filled="t" stroked="t" coordsize="21600,21600" o:gfxdata="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HBpr4A&#10;AADcAAAADwAAAAAAAAABACAAAAAiAAAAZHJzL2Rvd25yZXYueG1sUEsBAhQAFAAAAAgAh07iQDMv&#10;BZ47AAAAOQAAABAAAAAAAAAAAQAgAAAADQEAAGRycy9zaGFwZXhtbC54bWxQSwUGAAAAAAYABgBb&#10;AQAAtwMAAAAA&#10;" adj="10800,5400">
                  <v:fill on="t" focussize="0,0"/>
                  <v:stroke weight="1pt" color="#2F528F" miterlimit="8" joinstyle="miter"/>
                  <v:imagedata o:title=""/>
                  <o:lock v:ext="edit" aspectratio="f"/>
                </v:shape>
                <v:shape id="右箭头 140" o:spid="_x0000_s1026" o:spt="13" type="#_x0000_t13" style="position:absolute;left:2013401;top:4824388;height:288307;width:266589;v-text-anchor:middle;" fillcolor="#3399FF" filled="t" stroked="t" coordsize="21600,21600" o:gfxdata="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Nf0b4A&#10;AADcAAAADwAAAAAAAAABACAAAAAiAAAAZHJzL2Rvd25yZXYueG1sUEsBAhQAFAAAAAgAh07iQDMv&#10;BZ47AAAAOQAAABAAAAAAAAAAAQAgAAAADQEAAGRycy9zaGFwZXhtbC54bWxQSwUGAAAAAAYABgBb&#10;AQAAtwMAAAAA&#10;" adj="10800,5400">
                  <v:fill on="t" focussize="0,0"/>
                  <v:stroke weight="1pt" color="#2F528F" miterlimit="8" joinstyle="miter"/>
                  <v:imagedata o:title=""/>
                  <o:lock v:ext="edit" aspectratio="f"/>
                </v:shape>
              </v:group>
            </w:pict>
          </mc:Fallback>
        </mc:AlternateContent>
      </w:r>
    </w:p>
    <w:p>
      <w:pPr>
        <w:spacing w:line="200" w:lineRule="exact"/>
        <w:jc w:val="left"/>
        <w:rPr>
          <w:rFonts w:ascii="等线" w:hAnsi="等线" w:eastAsia="方正仿宋简体" w:cs="Times New Roman"/>
          <w:sz w:val="32"/>
          <w:szCs w:val="21"/>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pPr>
    </w:p>
    <w:p>
      <w:pPr>
        <w:widowControl/>
        <w:spacing w:line="594" w:lineRule="exact"/>
        <w:ind w:firstLine="640" w:firstLineChars="200"/>
        <w:rPr>
          <w:rFonts w:ascii="方正仿宋简体" w:hAnsi="等线" w:eastAsia="方正仿宋简体" w:cs="仿宋_GB2312"/>
          <w:color w:val="000000"/>
          <w:sz w:val="32"/>
          <w:szCs w:val="32"/>
        </w:rPr>
        <w:sectPr>
          <w:pgSz w:w="16838" w:h="11906" w:orient="landscape"/>
          <w:pgMar w:top="1800" w:right="1440" w:bottom="1800" w:left="1440" w:header="851" w:footer="992" w:gutter="0"/>
          <w:pgNumType w:fmt="decimal"/>
          <w:cols w:space="425" w:num="1"/>
          <w:docGrid w:type="lines" w:linePitch="435" w:charSpace="0"/>
        </w:sectPr>
      </w:pPr>
    </w:p>
    <w:p>
      <w:pPr>
        <w:widowControl/>
        <w:spacing w:line="594" w:lineRule="exact"/>
        <w:rPr>
          <w:rFonts w:hint="eastAsia" w:ascii="黑体" w:hAnsi="黑体" w:eastAsia="黑体" w:cs="楷体_GB2312"/>
          <w:bCs/>
          <w:color w:val="000000"/>
          <w:sz w:val="32"/>
          <w:szCs w:val="32"/>
          <w:lang w:eastAsia="zh-CN"/>
        </w:rPr>
      </w:pPr>
      <w:r>
        <w:rPr>
          <w:rFonts w:hint="eastAsia" w:ascii="黑体" w:hAnsi="黑体" w:eastAsia="黑体" w:cs="楷体_GB2312"/>
          <w:bCs/>
          <w:color w:val="000000"/>
          <w:sz w:val="32"/>
          <w:szCs w:val="32"/>
          <w:lang w:val="en-US" w:eastAsia="zh-CN"/>
        </w:rPr>
        <w:t xml:space="preserve">    </w:t>
      </w:r>
      <w:r>
        <w:rPr>
          <w:rFonts w:hint="eastAsia" w:ascii="黑体" w:hAnsi="黑体" w:eastAsia="黑体" w:cs="楷体_GB2312"/>
          <w:bCs/>
          <w:color w:val="000000"/>
          <w:sz w:val="32"/>
          <w:szCs w:val="32"/>
          <w:lang w:eastAsia="zh-CN"/>
        </w:rPr>
        <w:t>三、试点建设路径</w:t>
      </w:r>
    </w:p>
    <w:p>
      <w:pPr>
        <w:widowControl/>
        <w:spacing w:line="594" w:lineRule="exact"/>
        <w:ind w:firstLine="640" w:firstLineChars="200"/>
        <w:rPr>
          <w:rFonts w:hint="eastAsia" w:ascii="楷体" w:hAnsi="楷体" w:eastAsia="楷体" w:cs="楷体"/>
          <w:bCs/>
          <w:color w:val="000000"/>
          <w:sz w:val="32"/>
          <w:szCs w:val="32"/>
        </w:rPr>
      </w:pPr>
      <w:bookmarkStart w:id="52" w:name="_Hlk83581218"/>
      <w:r>
        <w:rPr>
          <w:rFonts w:hint="eastAsia" w:ascii="楷体" w:hAnsi="楷体" w:eastAsia="楷体" w:cs="楷体"/>
          <w:bCs/>
          <w:color w:val="000000"/>
          <w:sz w:val="32"/>
          <w:szCs w:val="32"/>
          <w:lang w:eastAsia="zh-CN"/>
        </w:rPr>
        <w:t>（一）</w:t>
      </w:r>
      <w:r>
        <w:rPr>
          <w:rFonts w:hint="eastAsia" w:ascii="楷体" w:hAnsi="楷体" w:eastAsia="楷体" w:cs="楷体"/>
          <w:bCs/>
          <w:color w:val="000000"/>
          <w:sz w:val="32"/>
          <w:szCs w:val="32"/>
        </w:rPr>
        <w:t>建立标准化试点工作机制</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城市试点</w:t>
      </w:r>
      <w:r>
        <w:rPr>
          <w:rFonts w:hint="eastAsia" w:ascii="仿宋" w:hAnsi="仿宋" w:eastAsia="仿宋" w:cs="仿宋_GB2312"/>
          <w:color w:val="000000"/>
          <w:sz w:val="32"/>
          <w:szCs w:val="32"/>
        </w:rPr>
        <w:t>：成立由市级领导牵头的标准化试点工作领导</w:t>
      </w:r>
      <w:r>
        <w:rPr>
          <w:rFonts w:hint="eastAsia" w:ascii="仿宋" w:hAnsi="仿宋" w:eastAsia="仿宋" w:cs="仿宋_GB2312"/>
          <w:bCs/>
          <w:color w:val="000000"/>
          <w:sz w:val="32"/>
          <w:szCs w:val="32"/>
        </w:rPr>
        <w:t>小组（以下简称市领导小组），负责试点工作的统筹领导、协调决策。市领导小组下设办公室和专家咨询组。市领导小组办公室（以下简称办公室）由市商务、市场监管部门负责同志组成，承担市领导小组的日常工作，负责试点工作方案的具体实施事项。专家咨询组由市商贸流通和标准化业界的专家组成，负责试点工作的技术咨询、评审、监督和考核。由市商务、市场监管部门负责牵头统筹组织推进相关方案和规划的总体安排工作，指导标准体系建设，推动国家、地方标准制定，对试点标准的实施情况进行监督检查。</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建立项目管理制度，规范程序，对项目申报、评估评审等结果进行公示。建立完善绩效评估办法、项目验收及审计办法。鼓励试点城市对试点工作提供专项经费支持。强化绩效评价，加强跟踪问效工作，树立先进典型，鼓励试点城市的典型企业示范带动相关企业实施标准化工作。</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企业</w:t>
      </w:r>
      <w:r>
        <w:rPr>
          <w:rFonts w:ascii="仿宋" w:hAnsi="仿宋" w:eastAsia="仿宋" w:cs="仿宋_GB2312"/>
          <w:bCs/>
          <w:color w:val="000000"/>
          <w:sz w:val="32"/>
          <w:szCs w:val="32"/>
        </w:rPr>
        <w:t>试点</w:t>
      </w:r>
      <w:r>
        <w:rPr>
          <w:rFonts w:hint="eastAsia" w:ascii="仿宋" w:hAnsi="仿宋" w:eastAsia="仿宋" w:cs="仿宋_GB2312"/>
          <w:bCs/>
          <w:color w:val="000000"/>
          <w:sz w:val="32"/>
          <w:szCs w:val="32"/>
        </w:rPr>
        <w:t>：成立由企业董事长或总经理牵头的标准化试点工作领导小组（以下简称领导小组），负责试点工作的统筹领导、协调决策。领导小组下设标准化办公室，标准化办公室成员由企业标准化部门和相关业务部门负责同志组成，承担领导小组的日常工作，负责试点工作方案的具体实施事项。可聘请标准化研究机构为试点工作提供技术咨询。</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建立项目管理制度，规范程序，对项目申报、评估评审等结果进行公示。建立完善绩效评估办法、项目验收及审计办法。试点企业应为试点工作提供必要的经费支持。鼓励试点企业带动相关企业实施标准化工作。</w:t>
      </w:r>
    </w:p>
    <w:p>
      <w:pPr>
        <w:widowControl/>
        <w:spacing w:line="594"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lang w:eastAsia="zh-CN"/>
        </w:rPr>
        <w:t>（二）</w:t>
      </w:r>
      <w:r>
        <w:rPr>
          <w:rFonts w:hint="eastAsia" w:ascii="楷体" w:hAnsi="楷体" w:eastAsia="楷体" w:cs="楷体"/>
          <w:bCs/>
          <w:color w:val="000000"/>
          <w:sz w:val="32"/>
          <w:szCs w:val="32"/>
        </w:rPr>
        <w:t>构建标准体系，研制重点标准</w:t>
      </w:r>
    </w:p>
    <w:p>
      <w:pPr>
        <w:widowControl/>
        <w:spacing w:line="594" w:lineRule="exact"/>
        <w:ind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lang w:val="en-US" w:eastAsia="zh-CN"/>
        </w:rPr>
        <w:t>1.</w:t>
      </w:r>
      <w:r>
        <w:rPr>
          <w:rFonts w:hint="eastAsia" w:ascii="仿宋" w:hAnsi="仿宋" w:eastAsia="仿宋" w:cs="仿宋_GB2312"/>
          <w:bCs/>
          <w:color w:val="000000"/>
          <w:sz w:val="32"/>
          <w:szCs w:val="32"/>
        </w:rPr>
        <w:t>准备阶段</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本阶段的主要工作有：</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——成立标准体系编制领导组，负责统筹安排标准体系编制进度，协调标准体系编制组与地方商务、</w:t>
      </w:r>
      <w:r>
        <w:rPr>
          <w:rFonts w:hint="eastAsia" w:ascii="仿宋" w:hAnsi="仿宋" w:eastAsia="仿宋" w:cs="仿宋_GB2312"/>
          <w:bCs/>
          <w:color w:val="000000"/>
          <w:sz w:val="32"/>
          <w:szCs w:val="32"/>
          <w:lang w:eastAsia="zh-CN"/>
        </w:rPr>
        <w:t>市场监管</w:t>
      </w:r>
      <w:r>
        <w:rPr>
          <w:rFonts w:hint="eastAsia" w:ascii="仿宋" w:hAnsi="仿宋" w:eastAsia="仿宋" w:cs="仿宋_GB2312"/>
          <w:bCs/>
          <w:color w:val="000000"/>
          <w:sz w:val="32"/>
          <w:szCs w:val="32"/>
        </w:rPr>
        <w:t>部门或组织内相关业务部门等之间的沟通、调研等工作；</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——组建标准体系编制组，相关人员提前学习标准化、标准体系等基本知识。</w:t>
      </w:r>
    </w:p>
    <w:p>
      <w:pPr>
        <w:widowControl/>
        <w:spacing w:line="594" w:lineRule="exact"/>
        <w:ind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lang w:val="en-US" w:eastAsia="zh-CN"/>
        </w:rPr>
        <w:t>2.</w:t>
      </w:r>
      <w:r>
        <w:rPr>
          <w:rFonts w:hint="eastAsia" w:ascii="仿宋" w:hAnsi="仿宋" w:eastAsia="仿宋" w:cs="仿宋_GB2312"/>
          <w:bCs/>
          <w:color w:val="000000"/>
          <w:sz w:val="32"/>
          <w:szCs w:val="32"/>
        </w:rPr>
        <w:t>现状调研</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本阶段的主要工作有：</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——结合试点要求及标准体系的编制目的，提前熟悉所属商贸流通相关行业、地方的发展现状，掌握其特点，并初步确定标准体系的边界范围；</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开展面向相关行业及试点单位主要人员（包括掌握试点单位所属行业情况的有关人员和具体业务工作人员）的访谈，了解所属商贸流通产业发展的业务重点，挖掘实际工作中已经积累的经验和急需解决的问题；</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——进行现场考察，了解实际工作中存在的问题，获取顾客对完善商贸流通服务的意见和建议；</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——搜集现有的资料，例如，近年来业务发展情况，该领域现有的国家标准、行业标准、地方标准、团体标准、企业标准以及其他可供参考的规范性文件等。</w:t>
      </w:r>
    </w:p>
    <w:p>
      <w:pPr>
        <w:widowControl/>
        <w:spacing w:line="594"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标准体系总体设计</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本阶段的主要工作有：</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——在现状调研的基础上确定本试点单位需要标准化的业务或流程等，最终确定标准体系的边界范围；</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——确定标准体系结构图的搭建方法。</w:t>
      </w:r>
    </w:p>
    <w:p>
      <w:pPr>
        <w:widowControl/>
        <w:spacing w:line="594"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体系编写</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lang w:val="en-US" w:eastAsia="zh-CN"/>
        </w:rPr>
        <w:t>1</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标准体系的构成</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标准体系主要由以下部分构成：</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——标准体系结构图；</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——标准明细表；</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——标准统计表；</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——标准体系编制说明。</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lang w:val="en-US" w:eastAsia="zh-CN"/>
        </w:rPr>
        <w:t>2</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标准体系结构图</w:t>
      </w:r>
    </w:p>
    <w:p>
      <w:pPr>
        <w:widowControl/>
        <w:spacing w:line="594" w:lineRule="exact"/>
        <w:ind w:firstLine="640" w:firstLineChars="200"/>
        <w:rPr>
          <w:rFonts w:hint="eastAsia" w:ascii="仿宋" w:hAnsi="仿宋" w:eastAsia="仿宋" w:cs="仿宋_GB2312"/>
          <w:bCs/>
          <w:color w:val="000000"/>
          <w:sz w:val="32"/>
          <w:szCs w:val="32"/>
        </w:rPr>
      </w:pPr>
      <w:r>
        <w:rPr>
          <w:rFonts w:hint="eastAsia" w:ascii="东文宋体" w:hAnsi="东文宋体" w:eastAsia="东文宋体" w:cs="东文宋体"/>
          <w:bCs/>
          <w:color w:val="000000"/>
          <w:sz w:val="32"/>
          <w:szCs w:val="32"/>
        </w:rPr>
        <w:t>①</w:t>
      </w:r>
      <w:r>
        <w:rPr>
          <w:rFonts w:hint="eastAsia" w:ascii="仿宋" w:hAnsi="仿宋" w:eastAsia="仿宋" w:cs="仿宋_GB2312"/>
          <w:bCs/>
          <w:color w:val="000000"/>
          <w:sz w:val="32"/>
          <w:szCs w:val="32"/>
        </w:rPr>
        <w:t>标准体系结构图是标准体系的基本组成部分，由总体系结构图和若干分体系结构图构成。</w:t>
      </w:r>
    </w:p>
    <w:p>
      <w:pPr>
        <w:widowControl/>
        <w:spacing w:line="594" w:lineRule="exact"/>
        <w:ind w:firstLine="640" w:firstLineChars="200"/>
        <w:rPr>
          <w:rFonts w:ascii="仿宋" w:hAnsi="仿宋" w:eastAsia="仿宋" w:cs="仿宋_GB2312"/>
          <w:bCs/>
          <w:color w:val="000000"/>
          <w:sz w:val="32"/>
          <w:szCs w:val="32"/>
        </w:rPr>
      </w:pPr>
      <w:r>
        <w:rPr>
          <w:rFonts w:hint="eastAsia" w:ascii="汉仪书宋二S" w:hAnsi="汉仪书宋二S" w:eastAsia="汉仪书宋二S" w:cs="汉仪书宋二S"/>
          <w:bCs/>
          <w:color w:val="000000"/>
          <w:sz w:val="32"/>
          <w:szCs w:val="32"/>
        </w:rPr>
        <w:t>②</w:t>
      </w:r>
      <w:r>
        <w:rPr>
          <w:rFonts w:hint="eastAsia" w:ascii="仿宋" w:hAnsi="仿宋" w:eastAsia="仿宋" w:cs="仿宋_GB2312"/>
          <w:bCs/>
          <w:color w:val="000000"/>
          <w:sz w:val="32"/>
          <w:szCs w:val="32"/>
        </w:rPr>
        <w:t>编制标准体系结构图，应首先明确该行业的总体架构、专业构成，以及不同专业的标准化工作重点方向。</w:t>
      </w:r>
    </w:p>
    <w:p>
      <w:pPr>
        <w:widowControl/>
        <w:spacing w:line="594" w:lineRule="exact"/>
        <w:ind w:firstLine="640" w:firstLineChars="200"/>
        <w:rPr>
          <w:rFonts w:ascii="仿宋" w:hAnsi="仿宋" w:eastAsia="仿宋" w:cs="仿宋_GB2312"/>
          <w:bCs/>
          <w:color w:val="000000"/>
          <w:sz w:val="32"/>
          <w:szCs w:val="32"/>
        </w:rPr>
      </w:pPr>
      <w:r>
        <w:rPr>
          <w:rFonts w:hint="eastAsia" w:ascii="东文宋体" w:hAnsi="东文宋体" w:eastAsia="东文宋体" w:cs="东文宋体"/>
          <w:bCs/>
          <w:color w:val="000000"/>
          <w:sz w:val="32"/>
          <w:szCs w:val="32"/>
        </w:rPr>
        <w:t>③</w:t>
      </w:r>
      <w:r>
        <w:rPr>
          <w:rFonts w:hint="eastAsia" w:ascii="仿宋" w:hAnsi="仿宋" w:eastAsia="仿宋" w:cs="仿宋_GB2312"/>
          <w:bCs/>
          <w:color w:val="000000"/>
          <w:sz w:val="32"/>
          <w:szCs w:val="32"/>
        </w:rPr>
        <w:t>标准体系结构图的构建方法主要有服务流程法、服务要素法、服务对象法、服务项目法等。某一具体服务业标准体系的编写可同时使用以上几种方法。</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lang w:val="en-US" w:eastAsia="zh-CN"/>
        </w:rPr>
        <w:t xml:space="preserve"> （3）</w:t>
      </w:r>
      <w:r>
        <w:rPr>
          <w:rFonts w:hint="eastAsia" w:ascii="仿宋" w:hAnsi="仿宋" w:eastAsia="仿宋" w:cs="仿宋_GB2312"/>
          <w:bCs/>
          <w:color w:val="000000"/>
          <w:sz w:val="32"/>
          <w:szCs w:val="32"/>
        </w:rPr>
        <w:t>标准明细表</w:t>
      </w:r>
    </w:p>
    <w:p>
      <w:pPr>
        <w:widowControl/>
        <w:spacing w:line="594" w:lineRule="exact"/>
        <w:ind w:firstLine="640" w:firstLineChars="200"/>
        <w:outlineLvl w:val="2"/>
        <w:rPr>
          <w:rFonts w:ascii="仿宋" w:hAnsi="仿宋" w:eastAsia="仿宋" w:cs="宋体"/>
          <w:kern w:val="0"/>
          <w:sz w:val="32"/>
          <w:szCs w:val="32"/>
        </w:rPr>
      </w:pPr>
      <w:r>
        <w:rPr>
          <w:rFonts w:hint="eastAsia" w:ascii="东文宋体" w:hAnsi="东文宋体" w:eastAsia="东文宋体" w:cs="东文宋体"/>
          <w:kern w:val="0"/>
          <w:sz w:val="32"/>
          <w:szCs w:val="32"/>
          <w:lang w:val="en-US" w:eastAsia="zh-CN"/>
        </w:rPr>
        <w:t>①</w:t>
      </w:r>
      <w:r>
        <w:rPr>
          <w:rFonts w:hint="eastAsia" w:ascii="仿宋" w:hAnsi="仿宋" w:eastAsia="仿宋" w:cs="宋体"/>
          <w:kern w:val="0"/>
          <w:sz w:val="32"/>
          <w:szCs w:val="32"/>
        </w:rPr>
        <w:t>标准</w:t>
      </w:r>
      <w:r>
        <w:rPr>
          <w:rFonts w:hint="eastAsia" w:ascii="仿宋" w:hAnsi="仿宋" w:eastAsia="仿宋" w:cs="仿宋_GB2312"/>
          <w:bCs/>
          <w:color w:val="000000"/>
          <w:sz w:val="32"/>
          <w:szCs w:val="32"/>
        </w:rPr>
        <w:t>明细表主要给出该体系中所有</w:t>
      </w:r>
      <w:r>
        <w:rPr>
          <w:rFonts w:hint="eastAsia" w:ascii="仿宋" w:hAnsi="仿宋" w:eastAsia="仿宋" w:cs="宋体"/>
          <w:kern w:val="0"/>
          <w:sz w:val="32"/>
          <w:szCs w:val="32"/>
        </w:rPr>
        <w:t>标准的相关信息，并应按照标准体系结构图中的构图方式一一对应</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依次罗列。</w:t>
      </w:r>
    </w:p>
    <w:p>
      <w:pPr>
        <w:widowControl/>
        <w:spacing w:line="594" w:lineRule="exact"/>
        <w:ind w:firstLine="640" w:firstLineChars="200"/>
        <w:outlineLvl w:val="2"/>
        <w:rPr>
          <w:rFonts w:ascii="仿宋" w:hAnsi="仿宋" w:eastAsia="仿宋" w:cs="宋体"/>
          <w:kern w:val="0"/>
          <w:sz w:val="32"/>
          <w:szCs w:val="32"/>
        </w:rPr>
      </w:pPr>
      <w:r>
        <w:rPr>
          <w:rFonts w:hint="eastAsia" w:ascii="东文宋体" w:hAnsi="东文宋体" w:eastAsia="东文宋体" w:cs="东文宋体"/>
          <w:kern w:val="0"/>
          <w:sz w:val="32"/>
          <w:szCs w:val="32"/>
        </w:rPr>
        <w:t>②</w:t>
      </w:r>
      <w:r>
        <w:rPr>
          <w:rFonts w:hint="eastAsia" w:ascii="仿宋" w:hAnsi="仿宋" w:eastAsia="仿宋" w:cs="宋体"/>
          <w:kern w:val="0"/>
          <w:sz w:val="32"/>
          <w:szCs w:val="32"/>
        </w:rPr>
        <w:t>标准明细表通常由标准体系编号、标准号、标准名称、标准级别、标准性质、标准类别等项目构成，具体见表1。</w:t>
      </w:r>
    </w:p>
    <w:p>
      <w:pPr>
        <w:widowControl/>
        <w:spacing w:line="594" w:lineRule="exact"/>
        <w:ind w:firstLine="640" w:firstLineChars="200"/>
        <w:outlineLvl w:val="2"/>
        <w:rPr>
          <w:rFonts w:ascii="仿宋" w:hAnsi="仿宋" w:eastAsia="仿宋" w:cs="宋体"/>
          <w:kern w:val="0"/>
          <w:sz w:val="32"/>
          <w:szCs w:val="32"/>
        </w:rPr>
      </w:pPr>
      <w:r>
        <w:rPr>
          <w:rFonts w:hint="eastAsia" w:ascii="东文宋体" w:hAnsi="东文宋体" w:eastAsia="东文宋体" w:cs="东文宋体"/>
          <w:kern w:val="0"/>
          <w:sz w:val="32"/>
          <w:szCs w:val="32"/>
        </w:rPr>
        <w:t>③</w:t>
      </w:r>
      <w:r>
        <w:rPr>
          <w:rFonts w:hint="eastAsia" w:ascii="仿宋" w:hAnsi="仿宋" w:eastAsia="仿宋" w:cs="宋体"/>
          <w:kern w:val="0"/>
          <w:sz w:val="32"/>
          <w:szCs w:val="32"/>
        </w:rPr>
        <w:t>标准化试点的标准明细表中包括国家标准、行业标准、地方标准、团体标准和企业标准五类。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830"/>
        <w:gridCol w:w="1775"/>
        <w:gridCol w:w="695"/>
        <w:gridCol w:w="694"/>
        <w:gridCol w:w="695"/>
        <w:gridCol w:w="831"/>
        <w:gridCol w:w="106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标准体系编号</w:t>
            </w:r>
          </w:p>
        </w:tc>
        <w:tc>
          <w:tcPr>
            <w:tcW w:w="830"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标准号</w:t>
            </w:r>
          </w:p>
        </w:tc>
        <w:tc>
          <w:tcPr>
            <w:tcW w:w="177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标准名称</w:t>
            </w:r>
          </w:p>
        </w:tc>
        <w:tc>
          <w:tcPr>
            <w:tcW w:w="69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标准级别</w:t>
            </w:r>
          </w:p>
        </w:tc>
        <w:tc>
          <w:tcPr>
            <w:tcW w:w="694"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标准性质</w:t>
            </w:r>
          </w:p>
        </w:tc>
        <w:tc>
          <w:tcPr>
            <w:tcW w:w="69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标准类别</w:t>
            </w:r>
          </w:p>
        </w:tc>
        <w:tc>
          <w:tcPr>
            <w:tcW w:w="831"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标准</w:t>
            </w:r>
          </w:p>
          <w:p>
            <w:pPr>
              <w:widowControl/>
              <w:autoSpaceDE w:val="0"/>
              <w:autoSpaceDN w:val="0"/>
              <w:jc w:val="center"/>
              <w:rPr>
                <w:rFonts w:ascii="仿宋" w:hAnsi="仿宋" w:eastAsia="仿宋" w:cs="Times New Roman"/>
                <w:kern w:val="0"/>
                <w:szCs w:val="21"/>
                <w:highlight w:val="yellow"/>
              </w:rPr>
            </w:pPr>
            <w:r>
              <w:rPr>
                <w:rFonts w:hint="eastAsia" w:ascii="仿宋" w:hAnsi="仿宋" w:eastAsia="仿宋" w:cs="Times New Roman"/>
                <w:kern w:val="0"/>
                <w:szCs w:val="21"/>
              </w:rPr>
              <w:t>状态</w:t>
            </w:r>
          </w:p>
        </w:tc>
        <w:tc>
          <w:tcPr>
            <w:tcW w:w="106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采标情况</w:t>
            </w:r>
          </w:p>
        </w:tc>
        <w:tc>
          <w:tcPr>
            <w:tcW w:w="639"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r>
              <w:rPr>
                <w:rFonts w:hint="eastAsia" w:ascii="仿宋" w:hAnsi="仿宋" w:eastAsia="仿宋"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830"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177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695" w:type="dxa"/>
            <w:tcBorders>
              <w:top w:val="single" w:color="auto" w:sz="4" w:space="0"/>
              <w:left w:val="nil"/>
              <w:bottom w:val="single" w:color="auto" w:sz="4" w:space="0"/>
              <w:right w:val="single" w:color="auto" w:sz="4" w:space="0"/>
            </w:tcBorders>
          </w:tcPr>
          <w:p>
            <w:pPr>
              <w:widowControl/>
              <w:autoSpaceDE w:val="0"/>
              <w:autoSpaceDN w:val="0"/>
              <w:jc w:val="center"/>
              <w:rPr>
                <w:rFonts w:ascii="仿宋" w:hAnsi="仿宋" w:eastAsia="仿宋" w:cs="Times New Roman"/>
                <w:kern w:val="0"/>
                <w:szCs w:val="21"/>
              </w:rPr>
            </w:pPr>
          </w:p>
        </w:tc>
        <w:tc>
          <w:tcPr>
            <w:tcW w:w="694" w:type="dxa"/>
            <w:tcBorders>
              <w:top w:val="single" w:color="auto" w:sz="4" w:space="0"/>
              <w:left w:val="nil"/>
              <w:bottom w:val="single" w:color="auto" w:sz="4" w:space="0"/>
              <w:right w:val="single" w:color="auto" w:sz="4" w:space="0"/>
            </w:tcBorders>
          </w:tcPr>
          <w:p>
            <w:pPr>
              <w:widowControl/>
              <w:autoSpaceDE w:val="0"/>
              <w:autoSpaceDN w:val="0"/>
              <w:jc w:val="center"/>
              <w:rPr>
                <w:rFonts w:ascii="仿宋" w:hAnsi="仿宋" w:eastAsia="仿宋" w:cs="Times New Roman"/>
                <w:kern w:val="0"/>
                <w:szCs w:val="21"/>
              </w:rPr>
            </w:pPr>
          </w:p>
        </w:tc>
        <w:tc>
          <w:tcPr>
            <w:tcW w:w="69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831"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106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639"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830"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177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695" w:type="dxa"/>
            <w:tcBorders>
              <w:top w:val="single" w:color="auto" w:sz="4" w:space="0"/>
              <w:left w:val="nil"/>
              <w:bottom w:val="single" w:color="auto" w:sz="4" w:space="0"/>
              <w:right w:val="single" w:color="auto" w:sz="4" w:space="0"/>
            </w:tcBorders>
          </w:tcPr>
          <w:p>
            <w:pPr>
              <w:widowControl/>
              <w:autoSpaceDE w:val="0"/>
              <w:autoSpaceDN w:val="0"/>
              <w:jc w:val="center"/>
              <w:rPr>
                <w:rFonts w:ascii="仿宋" w:hAnsi="仿宋" w:eastAsia="仿宋" w:cs="Times New Roman"/>
                <w:kern w:val="0"/>
                <w:szCs w:val="21"/>
              </w:rPr>
            </w:pPr>
          </w:p>
        </w:tc>
        <w:tc>
          <w:tcPr>
            <w:tcW w:w="694" w:type="dxa"/>
            <w:tcBorders>
              <w:top w:val="single" w:color="auto" w:sz="4" w:space="0"/>
              <w:left w:val="nil"/>
              <w:bottom w:val="single" w:color="auto" w:sz="4" w:space="0"/>
              <w:right w:val="single" w:color="auto" w:sz="4" w:space="0"/>
            </w:tcBorders>
          </w:tcPr>
          <w:p>
            <w:pPr>
              <w:widowControl/>
              <w:autoSpaceDE w:val="0"/>
              <w:autoSpaceDN w:val="0"/>
              <w:jc w:val="center"/>
              <w:rPr>
                <w:rFonts w:ascii="仿宋" w:hAnsi="仿宋" w:eastAsia="仿宋" w:cs="Times New Roman"/>
                <w:kern w:val="0"/>
                <w:szCs w:val="21"/>
              </w:rPr>
            </w:pPr>
          </w:p>
        </w:tc>
        <w:tc>
          <w:tcPr>
            <w:tcW w:w="69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831"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106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639"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830"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177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695" w:type="dxa"/>
            <w:tcBorders>
              <w:top w:val="single" w:color="auto" w:sz="4" w:space="0"/>
              <w:left w:val="nil"/>
              <w:bottom w:val="single" w:color="auto" w:sz="4" w:space="0"/>
              <w:right w:val="single" w:color="auto" w:sz="4" w:space="0"/>
            </w:tcBorders>
          </w:tcPr>
          <w:p>
            <w:pPr>
              <w:widowControl/>
              <w:autoSpaceDE w:val="0"/>
              <w:autoSpaceDN w:val="0"/>
              <w:jc w:val="center"/>
              <w:rPr>
                <w:rFonts w:ascii="仿宋" w:hAnsi="仿宋" w:eastAsia="仿宋" w:cs="Times New Roman"/>
                <w:kern w:val="0"/>
                <w:szCs w:val="21"/>
              </w:rPr>
            </w:pPr>
          </w:p>
        </w:tc>
        <w:tc>
          <w:tcPr>
            <w:tcW w:w="694" w:type="dxa"/>
            <w:tcBorders>
              <w:top w:val="single" w:color="auto" w:sz="4" w:space="0"/>
              <w:left w:val="nil"/>
              <w:bottom w:val="single" w:color="auto" w:sz="4" w:space="0"/>
              <w:right w:val="single" w:color="auto" w:sz="4" w:space="0"/>
            </w:tcBorders>
          </w:tcPr>
          <w:p>
            <w:pPr>
              <w:widowControl/>
              <w:autoSpaceDE w:val="0"/>
              <w:autoSpaceDN w:val="0"/>
              <w:jc w:val="center"/>
              <w:rPr>
                <w:rFonts w:ascii="仿宋" w:hAnsi="仿宋" w:eastAsia="仿宋" w:cs="Times New Roman"/>
                <w:kern w:val="0"/>
                <w:szCs w:val="21"/>
              </w:rPr>
            </w:pPr>
          </w:p>
        </w:tc>
        <w:tc>
          <w:tcPr>
            <w:tcW w:w="695"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831"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106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c>
          <w:tcPr>
            <w:tcW w:w="639"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ascii="仿宋" w:hAnsi="仿宋" w:eastAsia="仿宋" w:cs="Times New Roman"/>
                <w:kern w:val="0"/>
                <w:sz w:val="18"/>
                <w:szCs w:val="18"/>
              </w:rPr>
            </w:pPr>
            <w:r>
              <w:rPr>
                <w:rFonts w:hint="eastAsia" w:ascii="仿宋" w:hAnsi="仿宋" w:eastAsia="仿宋" w:cs="Times New Roman"/>
                <w:kern w:val="0"/>
                <w:sz w:val="18"/>
                <w:szCs w:val="18"/>
              </w:rPr>
              <w:t>注：标准级别指国家标准、行业标准、地方标准、团体标准、企业标准，标准性质指推荐性标准、强制性标准，标准类别指基础标准、管理标准、技术标准、服务标准、产品标准等，标准状态指已发布、待修订、待制定、拟废止等。</w:t>
            </w:r>
          </w:p>
        </w:tc>
      </w:tr>
    </w:tbl>
    <w:p>
      <w:pPr>
        <w:widowControl/>
        <w:spacing w:before="156" w:beforeLines="50" w:after="156" w:afterLines="50" w:line="360" w:lineRule="auto"/>
        <w:ind w:firstLine="420" w:firstLineChars="200"/>
        <w:jc w:val="center"/>
        <w:outlineLvl w:val="2"/>
        <w:rPr>
          <w:rFonts w:ascii="黑体" w:hAnsi="黑体" w:eastAsia="黑体" w:cs="宋体"/>
          <w:kern w:val="0"/>
          <w:szCs w:val="21"/>
        </w:rPr>
      </w:pPr>
      <w:r>
        <w:rPr>
          <w:rFonts w:hint="eastAsia" w:ascii="黑体" w:hAnsi="黑体" w:eastAsia="黑体" w:cs="宋体"/>
          <w:kern w:val="0"/>
          <w:szCs w:val="21"/>
        </w:rPr>
        <w:t>表1 标准明细表</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lang w:val="en-US" w:eastAsia="zh-CN"/>
        </w:rPr>
        <w:t>4</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标准统计表</w:t>
      </w:r>
    </w:p>
    <w:p>
      <w:pPr>
        <w:widowControl/>
        <w:spacing w:line="594" w:lineRule="exact"/>
        <w:ind w:firstLine="640" w:firstLineChars="200"/>
        <w:outlineLvl w:val="2"/>
        <w:rPr>
          <w:rFonts w:ascii="仿宋" w:hAnsi="仿宋" w:eastAsia="仿宋" w:cs="宋体"/>
          <w:kern w:val="0"/>
          <w:sz w:val="32"/>
          <w:szCs w:val="32"/>
        </w:rPr>
      </w:pPr>
      <w:r>
        <w:rPr>
          <w:rFonts w:hint="eastAsia" w:ascii="东文宋体" w:hAnsi="东文宋体" w:eastAsia="东文宋体" w:cs="东文宋体"/>
          <w:kern w:val="0"/>
          <w:sz w:val="32"/>
          <w:szCs w:val="32"/>
        </w:rPr>
        <w:t>①</w:t>
      </w:r>
      <w:r>
        <w:rPr>
          <w:rFonts w:hint="eastAsia" w:ascii="仿宋" w:hAnsi="仿宋" w:eastAsia="仿宋" w:cs="宋体"/>
          <w:kern w:val="0"/>
          <w:sz w:val="32"/>
          <w:szCs w:val="32"/>
        </w:rPr>
        <w:t>在编制标准统计表时，应对标准明细表中的标准情况进行梳理，统计出应有标准数、现有标准数。</w:t>
      </w:r>
    </w:p>
    <w:p>
      <w:pPr>
        <w:widowControl/>
        <w:spacing w:line="594" w:lineRule="exact"/>
        <w:ind w:firstLine="640" w:firstLineChars="200"/>
        <w:outlineLvl w:val="2"/>
        <w:rPr>
          <w:rFonts w:ascii="仿宋" w:hAnsi="仿宋" w:eastAsia="仿宋" w:cs="宋体"/>
          <w:kern w:val="0"/>
          <w:sz w:val="32"/>
          <w:szCs w:val="32"/>
        </w:rPr>
      </w:pPr>
      <w:r>
        <w:rPr>
          <w:rFonts w:hint="eastAsia" w:ascii="东文宋体" w:hAnsi="东文宋体" w:eastAsia="东文宋体" w:cs="东文宋体"/>
          <w:kern w:val="0"/>
          <w:sz w:val="32"/>
          <w:szCs w:val="32"/>
        </w:rPr>
        <w:t>②</w:t>
      </w:r>
      <w:r>
        <w:rPr>
          <w:rFonts w:hint="eastAsia" w:ascii="仿宋" w:hAnsi="仿宋" w:eastAsia="仿宋" w:cs="宋体"/>
          <w:kern w:val="0"/>
          <w:sz w:val="32"/>
          <w:szCs w:val="32"/>
        </w:rPr>
        <w:t>标准统计表的格式可根据具体统计项的不同来设计。按照标准级别进行统计的具体示例见表2。</w:t>
      </w:r>
    </w:p>
    <w:p>
      <w:pPr>
        <w:widowControl/>
        <w:autoSpaceDE w:val="0"/>
        <w:autoSpaceDN w:val="0"/>
        <w:jc w:val="center"/>
        <w:rPr>
          <w:rFonts w:ascii="宋体" w:hAnsi="Times New Roman" w:eastAsia="宋体" w:cs="宋体"/>
          <w:kern w:val="0"/>
          <w:szCs w:val="21"/>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5"/>
        <w:gridCol w:w="1844"/>
        <w:gridCol w:w="196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统计项</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应有标准数（个）</w:t>
            </w: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现有标准数（个）</w:t>
            </w: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现有标准数/应有标准数（%）</w:t>
            </w: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国家标准</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行业标准</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地方标准</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团体标准</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企业标准</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r>
              <w:rPr>
                <w:rFonts w:hint="eastAsia" w:ascii="宋体" w:hAnsi="Times New Roman" w:eastAsia="宋体" w:cs="Times New Roman"/>
                <w:kern w:val="0"/>
                <w:szCs w:val="21"/>
              </w:rPr>
              <w:t>合计</w:t>
            </w:r>
          </w:p>
        </w:tc>
        <w:tc>
          <w:tcPr>
            <w:tcW w:w="1082"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081"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115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c>
          <w:tcPr>
            <w:tcW w:w="623" w:type="pc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Times New Roman" w:eastAsia="宋体" w:cs="Times New Roman"/>
                <w:kern w:val="0"/>
                <w:szCs w:val="21"/>
              </w:rPr>
            </w:pPr>
          </w:p>
        </w:tc>
      </w:tr>
    </w:tbl>
    <w:p>
      <w:pPr>
        <w:widowControl/>
        <w:spacing w:before="156" w:beforeLines="50" w:after="156" w:afterLines="50" w:line="360" w:lineRule="auto"/>
        <w:ind w:firstLine="420" w:firstLineChars="200"/>
        <w:jc w:val="center"/>
        <w:outlineLvl w:val="2"/>
        <w:rPr>
          <w:rFonts w:ascii="方正仿宋简体" w:hAnsi="Times New Roman" w:eastAsia="方正仿宋简体" w:cs="宋体"/>
          <w:b/>
          <w:bCs/>
          <w:kern w:val="0"/>
          <w:sz w:val="32"/>
          <w:szCs w:val="32"/>
        </w:rPr>
      </w:pPr>
      <w:r>
        <w:rPr>
          <w:rFonts w:hint="eastAsia" w:ascii="黑体" w:hAnsi="黑体" w:eastAsia="黑体" w:cs="宋体"/>
          <w:kern w:val="0"/>
          <w:szCs w:val="21"/>
        </w:rPr>
        <w:t>表2 标准统计表</w:t>
      </w:r>
    </w:p>
    <w:p>
      <w:pPr>
        <w:widowControl/>
        <w:spacing w:line="594" w:lineRule="exact"/>
        <w:ind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lang w:val="en-US" w:eastAsia="zh-CN"/>
        </w:rPr>
        <w:t>5</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标准体系编制说明</w:t>
      </w:r>
    </w:p>
    <w:p>
      <w:pPr>
        <w:widowControl/>
        <w:spacing w:line="594" w:lineRule="exact"/>
        <w:ind w:firstLine="640" w:firstLineChars="200"/>
        <w:outlineLvl w:val="2"/>
        <w:rPr>
          <w:rFonts w:ascii="仿宋" w:hAnsi="仿宋" w:eastAsia="仿宋" w:cs="宋体"/>
          <w:kern w:val="0"/>
          <w:sz w:val="32"/>
          <w:szCs w:val="32"/>
        </w:rPr>
      </w:pPr>
      <w:r>
        <w:rPr>
          <w:rFonts w:hint="eastAsia" w:ascii="仿宋" w:hAnsi="仿宋" w:eastAsia="仿宋" w:cs="宋体"/>
          <w:kern w:val="0"/>
          <w:sz w:val="32"/>
          <w:szCs w:val="32"/>
        </w:rPr>
        <w:t>标准体系编制说明的内容一般包括：</w:t>
      </w:r>
    </w:p>
    <w:p>
      <w:pPr>
        <w:widowControl/>
        <w:spacing w:line="594" w:lineRule="exact"/>
        <w:ind w:firstLine="640" w:firstLineChars="200"/>
        <w:outlineLvl w:val="2"/>
        <w:rPr>
          <w:rFonts w:ascii="仿宋" w:hAnsi="仿宋" w:eastAsia="仿宋" w:cs="宋体"/>
          <w:kern w:val="0"/>
          <w:sz w:val="32"/>
          <w:szCs w:val="32"/>
        </w:rPr>
      </w:pPr>
      <w:r>
        <w:rPr>
          <w:rFonts w:hint="eastAsia" w:ascii="仿宋" w:hAnsi="仿宋" w:eastAsia="仿宋" w:cs="宋体"/>
          <w:kern w:val="0"/>
          <w:sz w:val="32"/>
          <w:szCs w:val="32"/>
        </w:rPr>
        <w:t>——标准体系编制的目的、依据；</w:t>
      </w:r>
    </w:p>
    <w:p>
      <w:pPr>
        <w:widowControl/>
        <w:spacing w:line="594" w:lineRule="exact"/>
        <w:ind w:firstLine="640" w:firstLineChars="200"/>
        <w:outlineLvl w:val="2"/>
        <w:rPr>
          <w:rFonts w:ascii="仿宋" w:hAnsi="仿宋" w:eastAsia="仿宋" w:cs="宋体"/>
          <w:b/>
          <w:kern w:val="0"/>
          <w:sz w:val="32"/>
          <w:szCs w:val="32"/>
        </w:rPr>
      </w:pPr>
      <w:r>
        <w:rPr>
          <w:rFonts w:hint="eastAsia" w:ascii="仿宋" w:hAnsi="仿宋" w:eastAsia="仿宋" w:cs="宋体"/>
          <w:kern w:val="0"/>
          <w:sz w:val="32"/>
          <w:szCs w:val="32"/>
        </w:rPr>
        <w:t>——标准体系结构图的构图思路，如专业划分依据及划分情况；</w:t>
      </w:r>
    </w:p>
    <w:p>
      <w:pPr>
        <w:widowControl/>
        <w:spacing w:line="594" w:lineRule="exact"/>
        <w:ind w:firstLine="640" w:firstLineChars="200"/>
        <w:outlineLvl w:val="2"/>
        <w:rPr>
          <w:rFonts w:ascii="仿宋" w:hAnsi="仿宋" w:eastAsia="仿宋" w:cs="宋体"/>
          <w:kern w:val="0"/>
          <w:sz w:val="32"/>
          <w:szCs w:val="32"/>
        </w:rPr>
      </w:pPr>
      <w:r>
        <w:rPr>
          <w:rFonts w:hint="eastAsia" w:ascii="仿宋" w:hAnsi="仿宋" w:eastAsia="仿宋" w:cs="宋体"/>
          <w:kern w:val="0"/>
          <w:sz w:val="32"/>
          <w:szCs w:val="32"/>
        </w:rPr>
        <w:t>——标准分析及其结论；</w:t>
      </w:r>
    </w:p>
    <w:p>
      <w:pPr>
        <w:widowControl/>
        <w:spacing w:line="594" w:lineRule="exact"/>
        <w:ind w:firstLine="640" w:firstLineChars="200"/>
        <w:outlineLvl w:val="2"/>
        <w:rPr>
          <w:rFonts w:ascii="仿宋" w:hAnsi="仿宋" w:eastAsia="仿宋" w:cs="宋体"/>
          <w:kern w:val="0"/>
          <w:sz w:val="32"/>
          <w:szCs w:val="32"/>
        </w:rPr>
      </w:pPr>
      <w:r>
        <w:rPr>
          <w:rFonts w:hint="eastAsia" w:ascii="仿宋" w:hAnsi="仿宋" w:eastAsia="仿宋" w:cs="宋体"/>
          <w:kern w:val="0"/>
          <w:sz w:val="32"/>
          <w:szCs w:val="32"/>
        </w:rPr>
        <w:t>——与其他体系的交叉情况和处理意见；</w:t>
      </w:r>
    </w:p>
    <w:p>
      <w:pPr>
        <w:widowControl/>
        <w:spacing w:line="594" w:lineRule="exact"/>
        <w:ind w:firstLine="640" w:firstLineChars="200"/>
        <w:outlineLvl w:val="2"/>
        <w:rPr>
          <w:rFonts w:ascii="仿宋" w:hAnsi="仿宋" w:eastAsia="仿宋" w:cs="宋体"/>
          <w:kern w:val="0"/>
          <w:sz w:val="32"/>
          <w:szCs w:val="32"/>
        </w:rPr>
      </w:pPr>
      <w:r>
        <w:rPr>
          <w:rFonts w:hint="eastAsia" w:ascii="仿宋" w:hAnsi="仿宋" w:eastAsia="仿宋" w:cs="宋体"/>
          <w:kern w:val="0"/>
          <w:sz w:val="32"/>
          <w:szCs w:val="32"/>
        </w:rPr>
        <w:t>——其他。</w:t>
      </w:r>
    </w:p>
    <w:p>
      <w:pPr>
        <w:widowControl/>
        <w:spacing w:line="594"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标准的分类及制定流程</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标准按制定的主体分类</w:t>
      </w:r>
      <w:r>
        <w:rPr>
          <w:rFonts w:ascii="仿宋" w:hAnsi="仿宋" w:eastAsia="仿宋" w:cs="宋体"/>
          <w:kern w:val="0"/>
          <w:sz w:val="32"/>
          <w:szCs w:val="32"/>
        </w:rPr>
        <w:cr/>
      </w:r>
      <w:r>
        <w:rPr>
          <w:rFonts w:ascii="仿宋" w:hAnsi="仿宋" w:eastAsia="仿宋" w:cs="宋体"/>
          <w:kern w:val="0"/>
          <w:sz w:val="32"/>
          <w:szCs w:val="32"/>
        </w:rPr>
        <w:t xml:space="preserve">    国家标准——适用于全国范围内的标准。</w:t>
      </w:r>
      <w:r>
        <w:rPr>
          <w:rFonts w:ascii="仿宋" w:hAnsi="仿宋" w:eastAsia="仿宋" w:cs="宋体"/>
          <w:kern w:val="0"/>
          <w:sz w:val="32"/>
          <w:szCs w:val="32"/>
        </w:rPr>
        <w:cr/>
      </w:r>
      <w:r>
        <w:rPr>
          <w:rFonts w:ascii="仿宋" w:hAnsi="仿宋" w:eastAsia="仿宋" w:cs="宋体"/>
          <w:kern w:val="0"/>
          <w:sz w:val="32"/>
          <w:szCs w:val="32"/>
        </w:rPr>
        <w:t xml:space="preserve">    行业标准——没有推荐性国家标准，需要在全国某个行业范围内统一的技术要求。</w:t>
      </w:r>
      <w:r>
        <w:rPr>
          <w:rFonts w:ascii="仿宋" w:hAnsi="仿宋" w:eastAsia="仿宋" w:cs="宋体"/>
          <w:kern w:val="0"/>
          <w:sz w:val="32"/>
          <w:szCs w:val="32"/>
        </w:rPr>
        <w:cr/>
      </w:r>
      <w:r>
        <w:rPr>
          <w:rFonts w:ascii="仿宋" w:hAnsi="仿宋" w:eastAsia="仿宋" w:cs="宋体"/>
          <w:kern w:val="0"/>
          <w:sz w:val="32"/>
          <w:szCs w:val="32"/>
        </w:rPr>
        <w:t xml:space="preserve">    地方标准——为满足地方自然条件、风俗习惯等特殊技术要求。</w:t>
      </w:r>
      <w:r>
        <w:rPr>
          <w:rFonts w:ascii="仿宋" w:hAnsi="仿宋" w:eastAsia="仿宋" w:cs="宋体"/>
          <w:kern w:val="0"/>
          <w:sz w:val="32"/>
          <w:szCs w:val="32"/>
        </w:rPr>
        <w:cr/>
      </w:r>
      <w:r>
        <w:rPr>
          <w:rFonts w:ascii="仿宋" w:hAnsi="仿宋" w:eastAsia="仿宋" w:cs="宋体"/>
          <w:kern w:val="0"/>
          <w:sz w:val="32"/>
          <w:szCs w:val="32"/>
        </w:rPr>
        <w:t xml:space="preserve">    团体标准——依法成立的社会团体为满足市场和创新需要，协调相关市场主体共同制定的标准。</w:t>
      </w:r>
      <w:r>
        <w:rPr>
          <w:rFonts w:ascii="仿宋" w:hAnsi="仿宋" w:eastAsia="仿宋" w:cs="宋体"/>
          <w:kern w:val="0"/>
          <w:sz w:val="32"/>
          <w:szCs w:val="32"/>
        </w:rPr>
        <w:cr/>
      </w:r>
      <w:r>
        <w:rPr>
          <w:rFonts w:ascii="方正仿宋简体" w:hAnsi="宋体" w:eastAsia="方正仿宋简体" w:cs="宋体"/>
          <w:kern w:val="0"/>
          <w:sz w:val="32"/>
          <w:szCs w:val="32"/>
        </w:rPr>
        <w:t xml:space="preserve">    </w:t>
      </w:r>
      <w:r>
        <w:rPr>
          <w:rFonts w:ascii="仿宋" w:hAnsi="仿宋" w:eastAsia="仿宋" w:cs="宋体"/>
          <w:kern w:val="0"/>
          <w:sz w:val="32"/>
          <w:szCs w:val="32"/>
        </w:rPr>
        <w:t xml:space="preserve">企业标准——企业的产品、服务，没有国家标准、行业标准和地方标准而需要制定的标准。  </w:t>
      </w:r>
    </w:p>
    <w:p>
      <w:pPr>
        <w:widowControl/>
        <w:autoSpaceDE w:val="0"/>
        <w:autoSpaceDN w:val="0"/>
        <w:spacing w:line="594" w:lineRule="exact"/>
        <w:ind w:firstLine="640" w:firstLineChars="200"/>
        <w:rPr>
          <w:rFonts w:ascii="仿宋" w:hAnsi="仿宋" w:eastAsia="仿宋" w:cs="宋体"/>
          <w:kern w:val="0"/>
          <w:sz w:val="32"/>
          <w:szCs w:val="32"/>
        </w:rPr>
      </w:pPr>
    </w:p>
    <w:p>
      <w:pPr>
        <w:widowControl/>
        <w:autoSpaceDE w:val="0"/>
        <w:autoSpaceDN w:val="0"/>
        <w:spacing w:line="594" w:lineRule="exact"/>
        <w:ind w:firstLine="640" w:firstLineChars="200"/>
        <w:rPr>
          <w:rFonts w:ascii="方正仿宋简体" w:hAnsi="宋体" w:eastAsia="方正仿宋简体"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w:t>
      </w:r>
      <w:r>
        <w:rPr>
          <w:rFonts w:ascii="仿宋" w:hAnsi="仿宋" w:eastAsia="仿宋" w:cs="宋体"/>
          <w:kern w:val="0"/>
          <w:sz w:val="32"/>
          <w:szCs w:val="32"/>
        </w:rPr>
        <w:t>标准</w:t>
      </w:r>
      <w:r>
        <w:rPr>
          <w:rFonts w:hint="eastAsia" w:ascii="仿宋" w:hAnsi="仿宋" w:eastAsia="仿宋" w:cs="宋体"/>
          <w:kern w:val="0"/>
          <w:sz w:val="32"/>
          <w:szCs w:val="32"/>
        </w:rPr>
        <w:t>的制定流程及路径</w:t>
      </w:r>
    </w:p>
    <w:p>
      <w:pPr>
        <w:widowControl/>
        <w:autoSpaceDE w:val="0"/>
        <w:autoSpaceDN w:val="0"/>
        <w:spacing w:line="594" w:lineRule="exact"/>
        <w:ind w:firstLine="420" w:firstLineChars="200"/>
        <w:rPr>
          <w:rFonts w:ascii="仿宋" w:hAnsi="仿宋" w:eastAsia="仿宋" w:cs="宋体"/>
          <w:kern w:val="0"/>
          <w:sz w:val="32"/>
          <w:szCs w:val="32"/>
        </w:rPr>
      </w:pPr>
      <w:r>
        <w:rPr>
          <w:rFonts w:ascii="宋体" w:hAnsi="Times New Roman" w:eastAsia="宋体" w:cs="宋体"/>
          <w:kern w:val="0"/>
          <w:szCs w:val="21"/>
        </w:rPr>
        <w:drawing>
          <wp:anchor distT="0" distB="0" distL="114300" distR="114300" simplePos="0" relativeHeight="251688960" behindDoc="0" locked="0" layoutInCell="1" allowOverlap="1">
            <wp:simplePos x="0" y="0"/>
            <wp:positionH relativeFrom="column">
              <wp:posOffset>192405</wp:posOffset>
            </wp:positionH>
            <wp:positionV relativeFrom="paragraph">
              <wp:posOffset>255270</wp:posOffset>
            </wp:positionV>
            <wp:extent cx="5274310" cy="1615440"/>
            <wp:effectExtent l="0" t="0" r="2540" b="3810"/>
            <wp:wrapSquare wrapText="bothSides"/>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1615440"/>
                    </a:xfrm>
                    <a:prstGeom prst="rect">
                      <a:avLst/>
                    </a:prstGeom>
                    <a:noFill/>
                    <a:ln>
                      <a:noFill/>
                    </a:ln>
                  </pic:spPr>
                </pic:pic>
              </a:graphicData>
            </a:graphic>
          </wp:anchor>
        </w:drawing>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国家标准的立项由全国专业标准化</w:t>
      </w:r>
      <w:r>
        <w:rPr>
          <w:rFonts w:hint="eastAsia" w:ascii="仿宋" w:hAnsi="仿宋" w:eastAsia="仿宋" w:cs="宋体"/>
          <w:kern w:val="0"/>
          <w:sz w:val="32"/>
          <w:szCs w:val="32"/>
        </w:rPr>
        <w:t>技术委员会或相关行业主管部门报国家市场监督管理总局立项。征求意见阶段需向全社会公开征求意见。审查和报批阶段由</w:t>
      </w:r>
      <w:r>
        <w:rPr>
          <w:rFonts w:ascii="仿宋" w:hAnsi="仿宋" w:eastAsia="仿宋" w:cs="宋体"/>
          <w:kern w:val="0"/>
          <w:sz w:val="32"/>
          <w:szCs w:val="32"/>
        </w:rPr>
        <w:t>全国专业标准化</w:t>
      </w:r>
      <w:r>
        <w:rPr>
          <w:rFonts w:hint="eastAsia" w:ascii="仿宋" w:hAnsi="仿宋" w:eastAsia="仿宋" w:cs="宋体"/>
          <w:kern w:val="0"/>
          <w:sz w:val="32"/>
          <w:szCs w:val="32"/>
        </w:rPr>
        <w:t>技术委员会或相关行业主管部门召开标准审查会议，审查通过后报国家市场监督管理总局批准发布。</w:t>
      </w:r>
    </w:p>
    <w:p>
      <w:pPr>
        <w:widowControl/>
        <w:autoSpaceDE w:val="0"/>
        <w:autoSpaceDN w:val="0"/>
        <w:spacing w:line="594" w:lineRule="exact"/>
        <w:ind w:firstLine="640" w:firstLineChars="200"/>
        <w:rPr>
          <w:rFonts w:ascii="仿宋" w:hAnsi="仿宋" w:eastAsia="仿宋" w:cs="宋体"/>
          <w:kern w:val="0"/>
          <w:sz w:val="32"/>
          <w:szCs w:val="32"/>
        </w:rPr>
      </w:pPr>
      <w:r>
        <w:rPr>
          <w:rFonts w:ascii="仿宋" w:hAnsi="仿宋" w:eastAsia="仿宋" w:cs="宋体"/>
          <w:kern w:val="0"/>
          <w:sz w:val="32"/>
          <w:szCs w:val="32"/>
        </w:rPr>
        <w:t>行业标准的立项由</w:t>
      </w:r>
      <w:r>
        <w:rPr>
          <w:rFonts w:hint="eastAsia" w:ascii="仿宋" w:hAnsi="仿宋" w:eastAsia="仿宋" w:cs="宋体"/>
          <w:kern w:val="0"/>
          <w:sz w:val="32"/>
          <w:szCs w:val="32"/>
        </w:rPr>
        <w:t>起草单位向相关行业主管</w:t>
      </w:r>
      <w:r>
        <w:rPr>
          <w:rFonts w:hint="eastAsia" w:ascii="仿宋" w:hAnsi="仿宋" w:eastAsia="仿宋" w:cs="宋体"/>
          <w:kern w:val="0"/>
          <w:sz w:val="32"/>
          <w:szCs w:val="32"/>
          <w:lang w:eastAsia="zh-CN"/>
        </w:rPr>
        <w:t>部门</w:t>
      </w:r>
      <w:r>
        <w:rPr>
          <w:rFonts w:hint="eastAsia" w:ascii="仿宋" w:hAnsi="仿宋" w:eastAsia="仿宋" w:cs="宋体"/>
          <w:kern w:val="0"/>
          <w:sz w:val="32"/>
          <w:szCs w:val="32"/>
        </w:rPr>
        <w:t>申报立项。征求意见阶段需向全社会公开征求意见。审查和报批阶段由相关行业主管部门召开标准审查会议，审查通过后批准发布。</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地方标准立项由起草单位向所在地（设区的市级人民政府）市场监督管理局申报立项。征求意见阶段需向所在地公开征求意见。审查和报批阶段由所在地（设区的市级人民政府）市场监督管理局召开标准审查会议，审查通过后批准发布。</w:t>
      </w:r>
    </w:p>
    <w:p>
      <w:pPr>
        <w:widowControl/>
        <w:autoSpaceDE w:val="0"/>
        <w:autoSpaceDN w:val="0"/>
        <w:spacing w:line="594" w:lineRule="exact"/>
        <w:ind w:firstLine="640" w:firstLineChars="200"/>
        <w:rPr>
          <w:rFonts w:ascii="仿宋" w:hAnsi="仿宋" w:eastAsia="仿宋" w:cs="宋体"/>
          <w:kern w:val="0"/>
          <w:sz w:val="32"/>
          <w:szCs w:val="32"/>
        </w:rPr>
      </w:pPr>
      <w:r>
        <w:rPr>
          <w:rFonts w:ascii="仿宋" w:hAnsi="仿宋" w:eastAsia="仿宋" w:cs="宋体"/>
          <w:kern w:val="0"/>
          <w:sz w:val="32"/>
          <w:szCs w:val="32"/>
        </w:rPr>
        <w:t>团体标准立项由</w:t>
      </w:r>
      <w:r>
        <w:rPr>
          <w:rFonts w:hint="eastAsia" w:ascii="仿宋" w:hAnsi="仿宋" w:eastAsia="仿宋" w:cs="宋体"/>
          <w:kern w:val="0"/>
          <w:sz w:val="32"/>
          <w:szCs w:val="32"/>
        </w:rPr>
        <w:t>起草单位向相关行业协会申报立项。征求意见阶段需向全社会公开征求意见。审查和报批阶段由相关行业协会召开标准审查会议，审查通过后批准发布。</w:t>
      </w:r>
    </w:p>
    <w:p>
      <w:pPr>
        <w:widowControl/>
        <w:autoSpaceDE w:val="0"/>
        <w:autoSpaceDN w:val="0"/>
        <w:spacing w:line="594" w:lineRule="exact"/>
        <w:ind w:firstLine="640" w:firstLineChars="200"/>
        <w:rPr>
          <w:rFonts w:ascii="仿宋" w:hAnsi="仿宋" w:eastAsia="仿宋" w:cs="宋体"/>
          <w:kern w:val="0"/>
          <w:sz w:val="32"/>
          <w:szCs w:val="32"/>
        </w:rPr>
      </w:pPr>
      <w:r>
        <w:rPr>
          <w:rFonts w:ascii="仿宋" w:hAnsi="仿宋" w:eastAsia="仿宋" w:cs="宋体"/>
          <w:kern w:val="0"/>
          <w:sz w:val="32"/>
          <w:szCs w:val="32"/>
        </w:rPr>
        <w:t>企业标准立项由</w:t>
      </w:r>
      <w:r>
        <w:rPr>
          <w:rFonts w:hint="eastAsia" w:ascii="仿宋" w:hAnsi="仿宋" w:eastAsia="仿宋" w:cs="宋体"/>
          <w:kern w:val="0"/>
          <w:sz w:val="32"/>
          <w:szCs w:val="32"/>
        </w:rPr>
        <w:t>企业组织立项。征求意见阶段只需企业内部征求意见。审查和报批阶段由企业自行组织召开标准审查会议，审查通过后批准发布。</w:t>
      </w:r>
    </w:p>
    <w:p>
      <w:pPr>
        <w:widowControl/>
        <w:spacing w:line="594"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lang w:eastAsia="zh-CN"/>
        </w:rPr>
        <w:t>（三）</w:t>
      </w:r>
      <w:r>
        <w:rPr>
          <w:rFonts w:hint="eastAsia" w:ascii="楷体" w:hAnsi="楷体" w:eastAsia="楷体" w:cs="楷体"/>
          <w:bCs/>
          <w:color w:val="000000"/>
          <w:sz w:val="32"/>
          <w:szCs w:val="32"/>
        </w:rPr>
        <w:t>充分开展标准实施</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1.宣传培训。将各项标准按岗按责编订成册，下发到全体工作人员，并采取多种形式对执行标准体系的人员进行培训。</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2.贯彻实施。全面实施标准体系，用标准规范服务，依服务完善标准，培养良好的行为习惯，将标准化服务变为自觉行动；同时做好标准实施的记录，结合工作实践，对标准进行完善提高。</w:t>
      </w:r>
    </w:p>
    <w:tbl>
      <w:tblPr>
        <w:tblStyle w:val="31"/>
        <w:tblW w:w="7680" w:type="dxa"/>
        <w:jc w:val="center"/>
        <w:tblLayout w:type="autofit"/>
        <w:tblCellMar>
          <w:top w:w="0" w:type="dxa"/>
          <w:left w:w="108" w:type="dxa"/>
          <w:bottom w:w="0" w:type="dxa"/>
          <w:right w:w="108" w:type="dxa"/>
        </w:tblCellMar>
      </w:tblPr>
      <w:tblGrid>
        <w:gridCol w:w="1920"/>
        <w:gridCol w:w="1920"/>
        <w:gridCol w:w="1920"/>
        <w:gridCol w:w="1920"/>
      </w:tblGrid>
      <w:tr>
        <w:tblPrEx>
          <w:tblCellMar>
            <w:top w:w="0" w:type="dxa"/>
            <w:left w:w="108" w:type="dxa"/>
            <w:bottom w:w="0" w:type="dxa"/>
            <w:right w:w="108" w:type="dxa"/>
          </w:tblCellMar>
        </w:tblPrEx>
        <w:trPr>
          <w:trHeight w:val="1127" w:hRule="atLeast"/>
          <w:jc w:val="center"/>
        </w:trPr>
        <w:tc>
          <w:tcPr>
            <w:tcW w:w="7680" w:type="dxa"/>
            <w:gridSpan w:val="4"/>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（对本部门如何开展标准宣贯、培训、实施检查等情况做出描述）</w:t>
            </w:r>
          </w:p>
        </w:tc>
      </w:tr>
      <w:tr>
        <w:tblPrEx>
          <w:tblCellMar>
            <w:top w:w="0" w:type="dxa"/>
            <w:left w:w="108" w:type="dxa"/>
            <w:bottom w:w="0" w:type="dxa"/>
            <w:right w:w="108" w:type="dxa"/>
          </w:tblCellMar>
        </w:tblPrEx>
        <w:trPr>
          <w:trHeight w:val="320" w:hRule="atLeast"/>
          <w:jc w:val="center"/>
        </w:trPr>
        <w:tc>
          <w:tcPr>
            <w:tcW w:w="7680" w:type="dxa"/>
            <w:gridSpan w:val="4"/>
            <w:shd w:val="clear" w:color="auto" w:fill="F2F2F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现行标准修改完善建议</w:t>
            </w:r>
          </w:p>
        </w:tc>
      </w:tr>
      <w:tr>
        <w:tblPrEx>
          <w:tblCellMar>
            <w:top w:w="0" w:type="dxa"/>
            <w:left w:w="108" w:type="dxa"/>
            <w:bottom w:w="0" w:type="dxa"/>
            <w:right w:w="108" w:type="dxa"/>
          </w:tblCellMar>
        </w:tblPrEx>
        <w:trPr>
          <w:trHeight w:val="320" w:hRule="atLeast"/>
          <w:jc w:val="center"/>
        </w:trPr>
        <w:tc>
          <w:tcPr>
            <w:tcW w:w="1920"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标准号</w:t>
            </w:r>
          </w:p>
        </w:tc>
        <w:tc>
          <w:tcPr>
            <w:tcW w:w="5760" w:type="dxa"/>
            <w:gridSpan w:val="3"/>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r>
        <w:tblPrEx>
          <w:tblCellMar>
            <w:top w:w="0" w:type="dxa"/>
            <w:left w:w="108" w:type="dxa"/>
            <w:bottom w:w="0" w:type="dxa"/>
            <w:right w:w="108" w:type="dxa"/>
          </w:tblCellMar>
        </w:tblPrEx>
        <w:trPr>
          <w:trHeight w:val="320" w:hRule="atLeast"/>
          <w:jc w:val="center"/>
        </w:trPr>
        <w:tc>
          <w:tcPr>
            <w:tcW w:w="1920" w:type="dxa"/>
            <w:shd w:val="clear" w:color="auto" w:fill="F2F2F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标准名称</w:t>
            </w:r>
          </w:p>
        </w:tc>
        <w:tc>
          <w:tcPr>
            <w:tcW w:w="5760" w:type="dxa"/>
            <w:gridSpan w:val="3"/>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r>
        <w:tblPrEx>
          <w:tblCellMar>
            <w:top w:w="0" w:type="dxa"/>
            <w:left w:w="108" w:type="dxa"/>
            <w:bottom w:w="0" w:type="dxa"/>
            <w:right w:w="108" w:type="dxa"/>
          </w:tblCellMar>
        </w:tblPrEx>
        <w:trPr>
          <w:trHeight w:val="1227" w:hRule="atLeast"/>
          <w:jc w:val="center"/>
        </w:trPr>
        <w:tc>
          <w:tcPr>
            <w:tcW w:w="1920"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标准修改建议</w:t>
            </w:r>
          </w:p>
        </w:tc>
        <w:tc>
          <w:tcPr>
            <w:tcW w:w="5760" w:type="dxa"/>
            <w:gridSpan w:val="3"/>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（具体说明章条号、修改建议及理由）</w:t>
            </w:r>
          </w:p>
        </w:tc>
      </w:tr>
      <w:tr>
        <w:tblPrEx>
          <w:tblCellMar>
            <w:top w:w="0" w:type="dxa"/>
            <w:left w:w="108" w:type="dxa"/>
            <w:bottom w:w="0" w:type="dxa"/>
            <w:right w:w="108" w:type="dxa"/>
          </w:tblCellMar>
        </w:tblPrEx>
        <w:trPr>
          <w:trHeight w:val="320" w:hRule="atLeast"/>
          <w:jc w:val="center"/>
        </w:trPr>
        <w:tc>
          <w:tcPr>
            <w:tcW w:w="7680" w:type="dxa"/>
            <w:gridSpan w:val="4"/>
            <w:shd w:val="clear" w:color="auto" w:fill="F2F2F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新标准建议</w:t>
            </w:r>
          </w:p>
        </w:tc>
      </w:tr>
      <w:tr>
        <w:tblPrEx>
          <w:tblCellMar>
            <w:top w:w="0" w:type="dxa"/>
            <w:left w:w="108" w:type="dxa"/>
            <w:bottom w:w="0" w:type="dxa"/>
            <w:right w:w="108" w:type="dxa"/>
          </w:tblCellMar>
        </w:tblPrEx>
        <w:trPr>
          <w:trHeight w:val="960" w:hRule="atLeast"/>
          <w:jc w:val="center"/>
        </w:trPr>
        <w:tc>
          <w:tcPr>
            <w:tcW w:w="1920"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研制理由</w:t>
            </w:r>
          </w:p>
        </w:tc>
        <w:tc>
          <w:tcPr>
            <w:tcW w:w="5760" w:type="dxa"/>
            <w:gridSpan w:val="3"/>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r>
        <w:tblPrEx>
          <w:tblCellMar>
            <w:top w:w="0" w:type="dxa"/>
            <w:left w:w="108" w:type="dxa"/>
            <w:bottom w:w="0" w:type="dxa"/>
            <w:right w:w="108" w:type="dxa"/>
          </w:tblCellMar>
        </w:tblPrEx>
        <w:trPr>
          <w:trHeight w:val="750" w:hRule="atLeast"/>
          <w:jc w:val="center"/>
        </w:trPr>
        <w:tc>
          <w:tcPr>
            <w:tcW w:w="1920" w:type="dxa"/>
            <w:shd w:val="clear" w:color="auto" w:fill="F2F2F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主要规范内容</w:t>
            </w:r>
          </w:p>
        </w:tc>
        <w:tc>
          <w:tcPr>
            <w:tcW w:w="5760" w:type="dxa"/>
            <w:gridSpan w:val="3"/>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r>
        <w:tblPrEx>
          <w:tblCellMar>
            <w:top w:w="0" w:type="dxa"/>
            <w:left w:w="108" w:type="dxa"/>
            <w:bottom w:w="0" w:type="dxa"/>
            <w:right w:w="108" w:type="dxa"/>
          </w:tblCellMar>
        </w:tblPrEx>
        <w:trPr>
          <w:trHeight w:val="320" w:hRule="atLeast"/>
          <w:jc w:val="center"/>
        </w:trPr>
        <w:tc>
          <w:tcPr>
            <w:tcW w:w="1920"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填表人</w:t>
            </w:r>
          </w:p>
        </w:tc>
        <w:tc>
          <w:tcPr>
            <w:tcW w:w="1920" w:type="dxa"/>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c>
          <w:tcPr>
            <w:tcW w:w="1920" w:type="dxa"/>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联系电话</w:t>
            </w:r>
          </w:p>
        </w:tc>
        <w:tc>
          <w:tcPr>
            <w:tcW w:w="1920" w:type="dxa"/>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r>
        <w:tblPrEx>
          <w:tblCellMar>
            <w:top w:w="0" w:type="dxa"/>
            <w:left w:w="108" w:type="dxa"/>
            <w:bottom w:w="0" w:type="dxa"/>
            <w:right w:w="108" w:type="dxa"/>
          </w:tblCellMar>
        </w:tblPrEx>
        <w:trPr>
          <w:trHeight w:val="320" w:hRule="atLeast"/>
          <w:jc w:val="center"/>
        </w:trPr>
        <w:tc>
          <w:tcPr>
            <w:tcW w:w="1920" w:type="dxa"/>
            <w:shd w:val="clear" w:color="auto" w:fill="F2F2F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所在部门</w:t>
            </w:r>
          </w:p>
        </w:tc>
        <w:tc>
          <w:tcPr>
            <w:tcW w:w="1920" w:type="dxa"/>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c>
          <w:tcPr>
            <w:tcW w:w="1920" w:type="dxa"/>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填表日期</w:t>
            </w:r>
          </w:p>
        </w:tc>
        <w:tc>
          <w:tcPr>
            <w:tcW w:w="1920" w:type="dxa"/>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bl>
    <w:p>
      <w:pPr>
        <w:widowControl/>
        <w:spacing w:before="156" w:beforeLines="50" w:after="156" w:afterLines="50" w:line="360" w:lineRule="auto"/>
        <w:ind w:firstLine="420" w:firstLineChars="200"/>
        <w:jc w:val="center"/>
        <w:outlineLvl w:val="2"/>
        <w:rPr>
          <w:rFonts w:ascii="方正仿宋简体" w:hAnsi="Times New Roman" w:eastAsia="方正仿宋简体" w:cs="宋体"/>
          <w:b/>
          <w:bCs/>
          <w:kern w:val="0"/>
          <w:sz w:val="32"/>
          <w:szCs w:val="32"/>
        </w:rPr>
      </w:pPr>
      <w:r>
        <w:rPr>
          <w:rFonts w:hint="eastAsia" w:ascii="黑体" w:hAnsi="黑体" w:eastAsia="黑体" w:cs="宋体"/>
          <w:kern w:val="0"/>
          <w:szCs w:val="21"/>
        </w:rPr>
        <w:t>表3标准实施情况记录表</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3.督促检查。及时开展标准实施情况检查、指导工作，多方面收集意见、建议，找出服务过程中存在的问题，对标准进行完善。</w:t>
      </w:r>
    </w:p>
    <w:tbl>
      <w:tblPr>
        <w:tblStyle w:val="31"/>
        <w:tblW w:w="7655" w:type="dxa"/>
        <w:jc w:val="center"/>
        <w:tblLayout w:type="autofit"/>
        <w:tblCellMar>
          <w:top w:w="0" w:type="dxa"/>
          <w:left w:w="108" w:type="dxa"/>
          <w:bottom w:w="0" w:type="dxa"/>
          <w:right w:w="108" w:type="dxa"/>
        </w:tblCellMar>
      </w:tblPr>
      <w:tblGrid>
        <w:gridCol w:w="1516"/>
        <w:gridCol w:w="1356"/>
        <w:gridCol w:w="1258"/>
        <w:gridCol w:w="394"/>
        <w:gridCol w:w="419"/>
        <w:gridCol w:w="1389"/>
        <w:gridCol w:w="1323"/>
      </w:tblGrid>
      <w:tr>
        <w:tblPrEx>
          <w:tblCellMar>
            <w:top w:w="0" w:type="dxa"/>
            <w:left w:w="108" w:type="dxa"/>
            <w:bottom w:w="0" w:type="dxa"/>
            <w:right w:w="108" w:type="dxa"/>
          </w:tblCellMar>
        </w:tblPrEx>
        <w:trPr>
          <w:trHeight w:val="485" w:hRule="atLeast"/>
          <w:jc w:val="center"/>
        </w:trPr>
        <w:tc>
          <w:tcPr>
            <w:tcW w:w="1516"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记录时间</w:t>
            </w:r>
          </w:p>
        </w:tc>
        <w:tc>
          <w:tcPr>
            <w:tcW w:w="1356"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w:t>
            </w:r>
          </w:p>
        </w:tc>
        <w:tc>
          <w:tcPr>
            <w:tcW w:w="1258"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记录人</w:t>
            </w:r>
          </w:p>
        </w:tc>
        <w:tc>
          <w:tcPr>
            <w:tcW w:w="813" w:type="dxa"/>
            <w:gridSpan w:val="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w:t>
            </w:r>
          </w:p>
        </w:tc>
        <w:tc>
          <w:tcPr>
            <w:tcW w:w="1389"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记录人岗位</w:t>
            </w:r>
          </w:p>
        </w:tc>
        <w:tc>
          <w:tcPr>
            <w:tcW w:w="1323" w:type="dxa"/>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w:t>
            </w:r>
          </w:p>
        </w:tc>
      </w:tr>
      <w:tr>
        <w:tblPrEx>
          <w:tblCellMar>
            <w:top w:w="0" w:type="dxa"/>
            <w:left w:w="108" w:type="dxa"/>
            <w:bottom w:w="0" w:type="dxa"/>
            <w:right w:w="108" w:type="dxa"/>
          </w:tblCellMar>
        </w:tblPrEx>
        <w:trPr>
          <w:trHeight w:val="545" w:hRule="atLeast"/>
          <w:jc w:val="center"/>
        </w:trPr>
        <w:tc>
          <w:tcPr>
            <w:tcW w:w="1516" w:type="dxa"/>
            <w:shd w:val="clear" w:color="auto" w:fill="F2F2F2"/>
          </w:tcPr>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涉及标准名称</w:t>
            </w:r>
          </w:p>
        </w:tc>
        <w:tc>
          <w:tcPr>
            <w:tcW w:w="3008" w:type="dxa"/>
            <w:gridSpan w:val="3"/>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c>
          <w:tcPr>
            <w:tcW w:w="1808" w:type="dxa"/>
            <w:gridSpan w:val="2"/>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涉及标准条款</w:t>
            </w:r>
          </w:p>
        </w:tc>
        <w:tc>
          <w:tcPr>
            <w:tcW w:w="1323" w:type="dxa"/>
            <w:shd w:val="clear" w:color="auto" w:fill="F2F2F2"/>
          </w:tcPr>
          <w:p>
            <w:pPr>
              <w:widowControl/>
              <w:autoSpaceDE w:val="0"/>
              <w:autoSpaceDN w:val="0"/>
              <w:jc w:val="center"/>
              <w:rPr>
                <w:rFonts w:ascii="宋体" w:hAnsi="Times New Roman" w:eastAsia="宋体" w:cs="Times New Roman"/>
                <w:kern w:val="0"/>
                <w:szCs w:val="21"/>
              </w:rPr>
            </w:pPr>
            <w:r>
              <w:rPr>
                <w:rFonts w:ascii="宋体" w:hAnsi="Times New Roman" w:eastAsia="宋体" w:cs="Times New Roman"/>
                <w:kern w:val="0"/>
                <w:szCs w:val="21"/>
              </w:rPr>
              <w:t> </w:t>
            </w:r>
          </w:p>
        </w:tc>
      </w:tr>
      <w:tr>
        <w:tblPrEx>
          <w:tblCellMar>
            <w:top w:w="0" w:type="dxa"/>
            <w:left w:w="108" w:type="dxa"/>
            <w:bottom w:w="0" w:type="dxa"/>
            <w:right w:w="108" w:type="dxa"/>
          </w:tblCellMar>
        </w:tblPrEx>
        <w:trPr>
          <w:trHeight w:val="1839" w:hRule="atLeast"/>
          <w:jc w:val="center"/>
        </w:trPr>
        <w:tc>
          <w:tcPr>
            <w:tcW w:w="7655" w:type="dxa"/>
            <w:gridSpan w:val="7"/>
          </w:tcPr>
          <w:p>
            <w:pPr>
              <w:widowControl/>
              <w:autoSpaceDE w:val="0"/>
              <w:autoSpaceDN w:val="0"/>
              <w:rPr>
                <w:rFonts w:ascii="宋体" w:hAnsi="Times New Roman" w:eastAsia="宋体" w:cs="Times New Roman"/>
                <w:b/>
                <w:bCs/>
                <w:kern w:val="0"/>
                <w:szCs w:val="21"/>
              </w:rPr>
            </w:pPr>
            <w:r>
              <w:rPr>
                <w:rFonts w:ascii="宋体" w:hAnsi="Times New Roman" w:eastAsia="宋体" w:cs="Times New Roman"/>
                <w:b/>
                <w:bCs/>
                <w:kern w:val="0"/>
                <w:szCs w:val="21"/>
              </w:rPr>
              <w:t>发现问题简述：</w:t>
            </w:r>
          </w:p>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w:t>
            </w:r>
          </w:p>
        </w:tc>
      </w:tr>
      <w:tr>
        <w:tblPrEx>
          <w:tblCellMar>
            <w:top w:w="0" w:type="dxa"/>
            <w:left w:w="108" w:type="dxa"/>
            <w:bottom w:w="0" w:type="dxa"/>
            <w:right w:w="108" w:type="dxa"/>
          </w:tblCellMar>
        </w:tblPrEx>
        <w:trPr>
          <w:trHeight w:val="2041" w:hRule="atLeast"/>
          <w:jc w:val="center"/>
        </w:trPr>
        <w:tc>
          <w:tcPr>
            <w:tcW w:w="7655" w:type="dxa"/>
            <w:gridSpan w:val="7"/>
            <w:shd w:val="clear" w:color="auto" w:fill="F2F2F2"/>
          </w:tcPr>
          <w:p>
            <w:pPr>
              <w:widowControl/>
              <w:autoSpaceDE w:val="0"/>
              <w:autoSpaceDN w:val="0"/>
              <w:rPr>
                <w:rFonts w:ascii="宋体" w:hAnsi="Times New Roman" w:eastAsia="宋体" w:cs="Times New Roman"/>
                <w:b/>
                <w:bCs/>
                <w:kern w:val="0"/>
                <w:szCs w:val="21"/>
              </w:rPr>
            </w:pPr>
            <w:r>
              <w:rPr>
                <w:rFonts w:ascii="宋体" w:hAnsi="Times New Roman" w:eastAsia="宋体" w:cs="Times New Roman"/>
                <w:b/>
                <w:bCs/>
                <w:kern w:val="0"/>
                <w:szCs w:val="21"/>
              </w:rPr>
              <w:t>改进措施：</w:t>
            </w:r>
          </w:p>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w:t>
            </w:r>
          </w:p>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w:t>
            </w:r>
          </w:p>
        </w:tc>
      </w:tr>
      <w:tr>
        <w:tblPrEx>
          <w:tblCellMar>
            <w:top w:w="0" w:type="dxa"/>
            <w:left w:w="108" w:type="dxa"/>
            <w:bottom w:w="0" w:type="dxa"/>
            <w:right w:w="108" w:type="dxa"/>
          </w:tblCellMar>
        </w:tblPrEx>
        <w:trPr>
          <w:trHeight w:val="2263" w:hRule="atLeast"/>
          <w:jc w:val="center"/>
        </w:trPr>
        <w:tc>
          <w:tcPr>
            <w:tcW w:w="7655" w:type="dxa"/>
            <w:gridSpan w:val="7"/>
          </w:tcPr>
          <w:p>
            <w:pPr>
              <w:widowControl/>
              <w:autoSpaceDE w:val="0"/>
              <w:autoSpaceDN w:val="0"/>
              <w:rPr>
                <w:rFonts w:ascii="宋体" w:hAnsi="Times New Roman" w:eastAsia="宋体" w:cs="Times New Roman"/>
                <w:b/>
                <w:bCs/>
                <w:kern w:val="0"/>
                <w:szCs w:val="21"/>
              </w:rPr>
            </w:pPr>
            <w:r>
              <w:rPr>
                <w:rFonts w:ascii="宋体" w:hAnsi="Times New Roman" w:eastAsia="宋体" w:cs="Times New Roman"/>
                <w:b/>
                <w:bCs/>
                <w:kern w:val="0"/>
                <w:szCs w:val="21"/>
              </w:rPr>
              <w:t>审核意见：</w:t>
            </w:r>
          </w:p>
          <w:p>
            <w:pPr>
              <w:widowControl/>
              <w:autoSpaceDE w:val="0"/>
              <w:autoSpaceDN w:val="0"/>
              <w:jc w:val="center"/>
              <w:rPr>
                <w:rFonts w:ascii="宋体" w:hAnsi="Times New Roman" w:eastAsia="宋体" w:cs="Times New Roman"/>
                <w:b/>
                <w:bCs/>
                <w:kern w:val="0"/>
                <w:szCs w:val="21"/>
              </w:rPr>
            </w:pPr>
          </w:p>
          <w:p>
            <w:pPr>
              <w:widowControl/>
              <w:autoSpaceDE w:val="0"/>
              <w:autoSpaceDN w:val="0"/>
              <w:jc w:val="center"/>
              <w:rPr>
                <w:rFonts w:ascii="宋体" w:hAnsi="Times New Roman" w:eastAsia="宋体" w:cs="Times New Roman"/>
                <w:b/>
                <w:bCs/>
                <w:kern w:val="0"/>
                <w:szCs w:val="21"/>
              </w:rPr>
            </w:pPr>
          </w:p>
          <w:p>
            <w:pPr>
              <w:widowControl/>
              <w:autoSpaceDE w:val="0"/>
              <w:autoSpaceDN w:val="0"/>
              <w:jc w:val="center"/>
              <w:rPr>
                <w:rFonts w:ascii="宋体" w:hAnsi="Times New Roman" w:eastAsia="宋体" w:cs="Times New Roman"/>
                <w:b/>
                <w:bCs/>
                <w:kern w:val="0"/>
                <w:szCs w:val="21"/>
              </w:rPr>
            </w:pPr>
          </w:p>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审核人签字：</w:t>
            </w:r>
          </w:p>
          <w:p>
            <w:pPr>
              <w:widowControl/>
              <w:autoSpaceDE w:val="0"/>
              <w:autoSpaceDN w:val="0"/>
              <w:jc w:val="center"/>
              <w:rPr>
                <w:rFonts w:ascii="宋体" w:hAnsi="Times New Roman" w:eastAsia="宋体" w:cs="Times New Roman"/>
                <w:b/>
                <w:bCs/>
                <w:kern w:val="0"/>
                <w:szCs w:val="21"/>
              </w:rPr>
            </w:pPr>
            <w:r>
              <w:rPr>
                <w:rFonts w:ascii="宋体" w:hAnsi="Times New Roman" w:eastAsia="宋体" w:cs="Times New Roman"/>
                <w:b/>
                <w:bCs/>
                <w:kern w:val="0"/>
                <w:szCs w:val="21"/>
              </w:rPr>
              <w:t xml:space="preserve">                                           年  月  日</w:t>
            </w:r>
          </w:p>
        </w:tc>
      </w:tr>
    </w:tbl>
    <w:p>
      <w:pPr>
        <w:widowControl/>
        <w:spacing w:before="156" w:beforeLines="50" w:after="156" w:afterLines="50" w:line="360" w:lineRule="auto"/>
        <w:ind w:firstLine="420" w:firstLineChars="200"/>
        <w:jc w:val="center"/>
        <w:outlineLvl w:val="2"/>
        <w:rPr>
          <w:rFonts w:ascii="方正仿宋简体" w:hAnsi="Times New Roman" w:eastAsia="方正仿宋简体" w:cs="宋体"/>
          <w:b/>
          <w:bCs/>
          <w:kern w:val="0"/>
          <w:sz w:val="32"/>
          <w:szCs w:val="32"/>
        </w:rPr>
      </w:pPr>
      <w:r>
        <w:rPr>
          <w:rFonts w:hint="eastAsia" w:ascii="黑体" w:hAnsi="黑体" w:eastAsia="黑体" w:cs="宋体"/>
          <w:kern w:val="0"/>
          <w:szCs w:val="21"/>
        </w:rPr>
        <w:t>表4标准实施过程问题记录表</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4.创建品牌。充分发挥各部门的积极性和创造性，建设具有</w:t>
      </w:r>
      <w:r>
        <w:rPr>
          <w:rFonts w:hint="eastAsia" w:ascii="仿宋" w:hAnsi="仿宋" w:eastAsia="仿宋" w:cs="宋体"/>
          <w:kern w:val="0"/>
          <w:sz w:val="32"/>
          <w:szCs w:val="32"/>
          <w:lang w:eastAsia="zh-CN"/>
        </w:rPr>
        <w:t>本地</w:t>
      </w:r>
      <w:r>
        <w:rPr>
          <w:rFonts w:hint="eastAsia" w:ascii="仿宋" w:hAnsi="仿宋" w:eastAsia="仿宋" w:cs="宋体"/>
          <w:kern w:val="0"/>
          <w:sz w:val="32"/>
          <w:szCs w:val="32"/>
        </w:rPr>
        <w:t>特色的优质、高效服务标准，以创建品牌助推标准化建设。</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5.自我评价。成立标准体系自我评价小组，编制评价计划和检查记录表，评价标准体系实施效果，对不能达标的及时整改。</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6.完善机制。建立考核评比机制，定期检查标准体系实施效果，查找问题，加强动态管理和日常考核，建立长效机制。</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试点城市可根据试点任务分工，对涉及试点工作的部门进行评比，评比纳入政府绩效考核工作。</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试点企业</w:t>
      </w:r>
      <w:r>
        <w:rPr>
          <w:rFonts w:hint="eastAsia" w:ascii="仿宋" w:hAnsi="仿宋" w:eastAsia="仿宋" w:cs="宋体"/>
          <w:kern w:val="0"/>
          <w:sz w:val="32"/>
          <w:szCs w:val="32"/>
          <w:lang w:eastAsia="zh-CN"/>
        </w:rPr>
        <w:t>可</w:t>
      </w:r>
      <w:r>
        <w:rPr>
          <w:rFonts w:hint="eastAsia" w:ascii="仿宋" w:hAnsi="仿宋" w:eastAsia="仿宋" w:cs="宋体"/>
          <w:kern w:val="0"/>
          <w:sz w:val="32"/>
          <w:szCs w:val="32"/>
        </w:rPr>
        <w:t>根据试点工作的具体人员开展考核评价，评价结果与员工业绩、工资、晋升</w:t>
      </w:r>
      <w:r>
        <w:rPr>
          <w:rFonts w:ascii="仿宋" w:hAnsi="仿宋" w:eastAsia="仿宋" w:cs="宋体"/>
          <w:kern w:val="0"/>
          <w:sz w:val="32"/>
          <w:szCs w:val="32"/>
        </w:rPr>
        <w:t>挂钩。</w:t>
      </w:r>
    </w:p>
    <w:p>
      <w:pPr>
        <w:widowControl/>
        <w:autoSpaceDE w:val="0"/>
        <w:autoSpaceDN w:val="0"/>
        <w:spacing w:line="594"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lang w:eastAsia="zh-CN"/>
        </w:rPr>
        <w:t>（四）全面做好</w:t>
      </w:r>
      <w:r>
        <w:rPr>
          <w:rFonts w:hint="eastAsia" w:ascii="楷体" w:hAnsi="楷体" w:eastAsia="楷体" w:cs="楷体"/>
          <w:bCs/>
          <w:color w:val="000000"/>
          <w:sz w:val="32"/>
          <w:szCs w:val="32"/>
        </w:rPr>
        <w:t>总结</w:t>
      </w:r>
      <w:r>
        <w:rPr>
          <w:rFonts w:hint="eastAsia" w:ascii="楷体" w:hAnsi="楷体" w:eastAsia="楷体" w:cs="楷体"/>
          <w:bCs/>
          <w:color w:val="000000"/>
          <w:sz w:val="32"/>
          <w:szCs w:val="32"/>
          <w:lang w:eastAsia="zh-CN"/>
        </w:rPr>
        <w:t>验收</w:t>
      </w:r>
    </w:p>
    <w:p>
      <w:pPr>
        <w:widowControl/>
        <w:autoSpaceDE w:val="0"/>
        <w:autoSpaceDN w:val="0"/>
        <w:spacing w:line="594"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全面总结标准化试点过程的主要做法、特点和成效，提升标准化建设水平，迎接专家组评估验收。</w:t>
      </w:r>
    </w:p>
    <w:p>
      <w:pPr>
        <w:widowControl/>
        <w:autoSpaceDE w:val="0"/>
        <w:autoSpaceDN w:val="0"/>
        <w:spacing w:line="594" w:lineRule="exact"/>
        <w:ind w:firstLine="640" w:firstLineChars="200"/>
        <w:rPr>
          <w:rFonts w:ascii="仿宋" w:hAnsi="仿宋" w:eastAsia="仿宋" w:cs="宋体"/>
          <w:kern w:val="0"/>
          <w:sz w:val="32"/>
          <w:szCs w:val="32"/>
        </w:rPr>
      </w:pPr>
      <w:r>
        <w:rPr>
          <w:rFonts w:ascii="仿宋" w:hAnsi="仿宋" w:eastAsia="仿宋" w:cs="宋体"/>
          <w:kern w:val="0"/>
          <w:sz w:val="32"/>
          <w:szCs w:val="32"/>
        </w:rPr>
        <w:t>城市试点：</w:t>
      </w:r>
      <w:r>
        <w:rPr>
          <w:rFonts w:hint="eastAsia" w:ascii="仿宋" w:hAnsi="仿宋" w:eastAsia="仿宋" w:cs="宋体"/>
          <w:kern w:val="0"/>
          <w:sz w:val="32"/>
          <w:szCs w:val="32"/>
        </w:rPr>
        <w:t>充分运用简报、电视、报刊、新闻网站等多条渠道，加强对标准化试点工作的宣传，及时总结推广典型案例和成功经验，形成社会各方积极支持、踊跃参与的良好氛围。总结</w:t>
      </w:r>
      <w:r>
        <w:rPr>
          <w:rFonts w:hint="eastAsia" w:ascii="仿宋" w:hAnsi="仿宋" w:eastAsia="仿宋" w:cs="宋体"/>
          <w:kern w:val="0"/>
          <w:sz w:val="32"/>
          <w:szCs w:val="32"/>
          <w:lang w:eastAsia="zh-CN"/>
        </w:rPr>
        <w:t>成效</w:t>
      </w:r>
      <w:r>
        <w:rPr>
          <w:rFonts w:hint="eastAsia" w:ascii="仿宋" w:hAnsi="仿宋" w:eastAsia="仿宋" w:cs="宋体"/>
          <w:kern w:val="0"/>
          <w:sz w:val="32"/>
          <w:szCs w:val="32"/>
        </w:rPr>
        <w:t>可从受上级部门表彰、试点产生的经济和社会效益、向其他城市宣传推广标准化经验模式、新闻媒体报道、满意度调查、有效推动标准国际互认、制定中国标准外文版、参与国际标准制定、试点形成的标准制定为国家或行业标准等方面总结。</w:t>
      </w:r>
    </w:p>
    <w:p>
      <w:pPr>
        <w:widowControl/>
        <w:autoSpaceDE w:val="0"/>
        <w:autoSpaceDN w:val="0"/>
        <w:spacing w:line="594" w:lineRule="exact"/>
        <w:ind w:firstLine="640" w:firstLineChars="200"/>
        <w:rPr>
          <w:rFonts w:ascii="黑体" w:eastAsia="黑体" w:cs="宋体"/>
          <w:kern w:val="0"/>
        </w:rPr>
        <w:sectPr>
          <w:pgSz w:w="11906" w:h="16838"/>
          <w:pgMar w:top="1440" w:right="1797" w:bottom="1440" w:left="1797" w:header="720" w:footer="720" w:gutter="0"/>
          <w:pgNumType w:fmt="decimal"/>
          <w:cols w:space="720" w:num="1"/>
          <w:docGrid w:type="lines" w:linePitch="312" w:charSpace="0"/>
        </w:sectPr>
      </w:pPr>
      <w:r>
        <w:rPr>
          <w:rFonts w:hint="eastAsia" w:ascii="仿宋" w:hAnsi="仿宋" w:eastAsia="仿宋" w:cs="宋体"/>
          <w:kern w:val="0"/>
          <w:sz w:val="32"/>
          <w:szCs w:val="32"/>
        </w:rPr>
        <w:t>企业试点：通过视频、员工手册、知识竞赛等手段强化企业全体员工标准化意识，全面实施岗位工作标准化。总结</w:t>
      </w:r>
      <w:r>
        <w:rPr>
          <w:rFonts w:hint="eastAsia" w:ascii="仿宋" w:hAnsi="仿宋" w:eastAsia="仿宋" w:cs="宋体"/>
          <w:kern w:val="0"/>
          <w:sz w:val="32"/>
          <w:szCs w:val="32"/>
          <w:lang w:eastAsia="zh-CN"/>
        </w:rPr>
        <w:t>成效</w:t>
      </w:r>
      <w:r>
        <w:rPr>
          <w:rFonts w:hint="eastAsia" w:ascii="仿宋" w:hAnsi="仿宋" w:eastAsia="仿宋" w:cs="宋体"/>
          <w:kern w:val="0"/>
          <w:sz w:val="32"/>
          <w:szCs w:val="32"/>
        </w:rPr>
        <w:t>可从获得的奖励奖项、试点工作和标准实施产生的社会及经济效益、向其他企业宣传推广标准化经验模式、满意度调查、有效推动标准国际互认、制定中国标准外文版、参与国际标准制定、试点形成的标准制定为国家或行业标准等方面总结。</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kern w:val="0"/>
          <w:szCs w:val="32"/>
          <w:lang w:val="en-US" w:eastAsia="zh-CN"/>
        </w:rPr>
      </w:pPr>
      <w:bookmarkStart w:id="53" w:name="_Toc1494809270"/>
      <w:r>
        <w:rPr>
          <w:rFonts w:hint="eastAsia" w:ascii="黑体" w:hAnsi="黑体" w:eastAsia="黑体" w:cs="黑体"/>
          <w:b w:val="0"/>
          <w:bCs w:val="0"/>
          <w:sz w:val="32"/>
          <w:szCs w:val="32"/>
          <w:lang w:val="en-US" w:eastAsia="zh-CN"/>
        </w:rPr>
        <w:t>第二章 商贸流通标准体系构建</w:t>
      </w:r>
      <w:bookmarkEnd w:id="53"/>
    </w:p>
    <w:p>
      <w:pPr>
        <w:widowControl/>
        <w:numPr>
          <w:ilvl w:val="0"/>
          <w:numId w:val="0"/>
        </w:numPr>
        <w:autoSpaceDE w:val="0"/>
        <w:autoSpaceDN w:val="0"/>
        <w:spacing w:line="594" w:lineRule="exact"/>
        <w:ind w:firstLine="64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一、标准体系构建原则</w:t>
      </w:r>
    </w:p>
    <w:p>
      <w:pPr>
        <w:widowControl/>
        <w:spacing w:line="594" w:lineRule="exact"/>
        <w:ind w:firstLine="640" w:firstLineChars="200"/>
        <w:rPr>
          <w:rFonts w:hint="eastAsia" w:ascii="仿宋" w:hAnsi="仿宋" w:eastAsia="仿宋" w:cs="仿宋_GB2312"/>
          <w:bCs/>
          <w:color w:val="000000"/>
          <w:sz w:val="32"/>
          <w:szCs w:val="32"/>
          <w:lang w:val="en-US" w:eastAsia="zh-CN"/>
        </w:rPr>
      </w:pPr>
      <w:r>
        <w:rPr>
          <w:rFonts w:hint="eastAsia" w:ascii="楷体" w:hAnsi="楷体" w:eastAsia="楷体" w:cs="楷体"/>
          <w:kern w:val="0"/>
          <w:sz w:val="32"/>
          <w:szCs w:val="32"/>
          <w:lang w:val="en-US" w:eastAsia="zh-CN"/>
        </w:rPr>
        <w:t>1.科学分类，覆盖全面。</w:t>
      </w:r>
      <w:r>
        <w:rPr>
          <w:rFonts w:hint="eastAsia" w:ascii="仿宋" w:hAnsi="仿宋" w:eastAsia="仿宋" w:cs="仿宋_GB2312"/>
          <w:bCs/>
          <w:color w:val="000000"/>
          <w:sz w:val="32"/>
          <w:szCs w:val="32"/>
          <w:lang w:val="en-US" w:eastAsia="zh-CN"/>
        </w:rPr>
        <w:t>商贸流通标准体系是对流通标准化工作的基本规划，构建标准体系需要对商贸流通业的总体边界和内部划分给出科学分类，可参考国民经济行业分类。同时，为保证标准体系的全面性、可操作性，还应以商贸流通业本质属性为出发点，适当兼顾标准化工作职责分工，合理构建标准体系。</w:t>
      </w:r>
    </w:p>
    <w:p>
      <w:pPr>
        <w:widowControl/>
        <w:spacing w:line="594" w:lineRule="exact"/>
        <w:ind w:firstLine="640" w:firstLineChars="200"/>
        <w:rPr>
          <w:rFonts w:hint="eastAsia" w:ascii="仿宋" w:hAnsi="仿宋" w:eastAsia="仿宋" w:cs="仿宋_GB2312"/>
          <w:bCs/>
          <w:color w:val="000000"/>
          <w:sz w:val="32"/>
          <w:szCs w:val="32"/>
          <w:lang w:val="en-US" w:eastAsia="zh-CN"/>
        </w:rPr>
      </w:pPr>
      <w:r>
        <w:rPr>
          <w:rFonts w:hint="eastAsia" w:ascii="楷体" w:hAnsi="楷体" w:eastAsia="楷体" w:cs="楷体"/>
          <w:kern w:val="0"/>
          <w:sz w:val="32"/>
          <w:szCs w:val="32"/>
          <w:lang w:val="en-US" w:eastAsia="zh-CN"/>
        </w:rPr>
        <w:t>2.结构合理，整体协调。</w:t>
      </w:r>
      <w:r>
        <w:rPr>
          <w:rFonts w:hint="eastAsia" w:ascii="仿宋" w:hAnsi="仿宋" w:eastAsia="仿宋" w:cs="仿宋_GB2312"/>
          <w:bCs/>
          <w:color w:val="000000"/>
          <w:sz w:val="32"/>
          <w:szCs w:val="32"/>
          <w:lang w:val="en-US" w:eastAsia="zh-CN"/>
        </w:rPr>
        <w:t>应从层级结构、类别结构等多个维度，对现有标准和待制定标准的结构进行梳理分析，标准体系表中的每一项标准在标准体系结构图中应有相应的层次，从个性标准出发，提取共性技术要求作为上一层的共性标准，确保标准体系结构合理、划分清楚、全面成套，避免交叉、重复、不协调等问题。</w:t>
      </w:r>
    </w:p>
    <w:p>
      <w:pPr>
        <w:widowControl/>
        <w:spacing w:line="594" w:lineRule="exact"/>
        <w:ind w:firstLine="640" w:firstLineChars="200"/>
        <w:rPr>
          <w:rFonts w:hint="eastAsia" w:ascii="仿宋" w:hAnsi="仿宋" w:eastAsia="仿宋" w:cs="仿宋_GB2312"/>
          <w:bCs/>
          <w:color w:val="000000"/>
          <w:sz w:val="32"/>
          <w:szCs w:val="32"/>
          <w:lang w:val="en-US" w:eastAsia="zh-CN"/>
        </w:rPr>
      </w:pPr>
      <w:r>
        <w:rPr>
          <w:rFonts w:hint="eastAsia" w:ascii="楷体" w:hAnsi="楷体" w:eastAsia="楷体" w:cs="楷体"/>
          <w:kern w:val="0"/>
          <w:sz w:val="32"/>
          <w:szCs w:val="32"/>
          <w:lang w:val="en-US" w:eastAsia="zh-CN"/>
        </w:rPr>
        <w:t>3.层级适中，开放兼容。</w:t>
      </w:r>
      <w:r>
        <w:rPr>
          <w:rFonts w:hint="eastAsia" w:ascii="仿宋" w:hAnsi="仿宋" w:eastAsia="仿宋" w:cs="仿宋_GB2312"/>
          <w:bCs/>
          <w:color w:val="000000"/>
          <w:sz w:val="32"/>
          <w:szCs w:val="32"/>
          <w:lang w:val="en-US" w:eastAsia="zh-CN"/>
        </w:rPr>
        <w:t>鉴于流通业涵盖业务广、种类多，应侧重于做好标准体系的顶层架构设计，对子体系的划分给出科学的逻辑划分，确保标准系统结构完整、脉络清晰。同时，还应考虑未来流通发展趋势，为新的标准项目预留空间，保持标准体系的开放性和扩充性，适应未来发展需要。</w:t>
      </w:r>
    </w:p>
    <w:p>
      <w:pPr>
        <w:widowControl/>
        <w:autoSpaceDE w:val="0"/>
        <w:autoSpaceDN w:val="0"/>
        <w:spacing w:line="594"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二、标准体系结构分类</w:t>
      </w:r>
    </w:p>
    <w:p>
      <w:pPr>
        <w:ind w:firstLine="640" w:firstLineChars="200"/>
        <w:rPr>
          <w:rFonts w:hint="eastAsia" w:ascii="楷体" w:hAnsi="楷体" w:eastAsia="楷体"/>
          <w:bCs/>
          <w:sz w:val="32"/>
          <w:lang w:eastAsia="zh-CN"/>
        </w:rPr>
      </w:pPr>
      <w:r>
        <w:rPr>
          <w:rFonts w:hint="eastAsia" w:ascii="楷体" w:hAnsi="楷体" w:eastAsia="楷体" w:cs="楷体"/>
          <w:kern w:val="0"/>
          <w:sz w:val="32"/>
          <w:szCs w:val="32"/>
          <w:lang w:val="en-US" w:eastAsia="zh-CN"/>
        </w:rPr>
        <w:t>1.按行业管理范围分。</w:t>
      </w:r>
      <w:r>
        <w:rPr>
          <w:rFonts w:hint="eastAsia" w:ascii="仿宋" w:hAnsi="仿宋" w:eastAsia="仿宋" w:cs="宋体"/>
          <w:kern w:val="0"/>
          <w:sz w:val="32"/>
          <w:szCs w:val="32"/>
          <w:lang w:val="en-US" w:eastAsia="zh-CN"/>
        </w:rPr>
        <w:t>可分为国内贸易标准和外经贸标准2个大类。国内贸易标准包括</w:t>
      </w:r>
      <w:r>
        <w:rPr>
          <w:rFonts w:hint="eastAsia" w:ascii="仿宋" w:hAnsi="仿宋" w:eastAsia="仿宋"/>
          <w:sz w:val="32"/>
        </w:rPr>
        <w:t>国内贸易基础通用标准</w:t>
      </w:r>
      <w:r>
        <w:rPr>
          <w:rFonts w:hint="eastAsia" w:ascii="仿宋" w:hAnsi="仿宋" w:eastAsia="仿宋"/>
          <w:sz w:val="32"/>
          <w:lang w:eastAsia="zh-CN"/>
        </w:rPr>
        <w:t>，</w:t>
      </w:r>
      <w:r>
        <w:rPr>
          <w:rFonts w:hint="eastAsia" w:ascii="仿宋" w:hAnsi="仿宋" w:eastAsia="仿宋"/>
          <w:sz w:val="32"/>
        </w:rPr>
        <w:t>重要商品流通标准</w:t>
      </w:r>
      <w:r>
        <w:rPr>
          <w:rFonts w:hint="eastAsia" w:ascii="仿宋" w:hAnsi="仿宋" w:eastAsia="仿宋"/>
          <w:sz w:val="32"/>
          <w:lang w:eastAsia="zh-CN"/>
        </w:rPr>
        <w:t>，</w:t>
      </w:r>
      <w:r>
        <w:rPr>
          <w:rFonts w:hint="eastAsia" w:ascii="仿宋" w:hAnsi="仿宋" w:eastAsia="仿宋"/>
          <w:sz w:val="32"/>
        </w:rPr>
        <w:t>批发设施设备和管理标准</w:t>
      </w:r>
      <w:r>
        <w:rPr>
          <w:rFonts w:hint="eastAsia" w:ascii="仿宋" w:hAnsi="仿宋" w:eastAsia="仿宋"/>
          <w:sz w:val="32"/>
          <w:lang w:eastAsia="zh-CN"/>
        </w:rPr>
        <w:t>，</w:t>
      </w:r>
      <w:r>
        <w:rPr>
          <w:rFonts w:hint="eastAsia" w:ascii="仿宋" w:hAnsi="仿宋" w:eastAsia="仿宋"/>
          <w:sz w:val="32"/>
        </w:rPr>
        <w:t>零售设施设备和管理标准</w:t>
      </w:r>
      <w:r>
        <w:rPr>
          <w:rFonts w:hint="eastAsia" w:ascii="仿宋" w:hAnsi="仿宋" w:eastAsia="仿宋"/>
          <w:sz w:val="32"/>
          <w:lang w:eastAsia="zh-CN"/>
        </w:rPr>
        <w:t>，</w:t>
      </w:r>
      <w:r>
        <w:rPr>
          <w:rFonts w:hint="eastAsia" w:ascii="仿宋" w:hAnsi="仿宋" w:eastAsia="仿宋"/>
          <w:sz w:val="32"/>
        </w:rPr>
        <w:t>商贸物流设施设备和管理标准</w:t>
      </w:r>
      <w:r>
        <w:rPr>
          <w:rFonts w:hint="eastAsia" w:ascii="仿宋" w:hAnsi="仿宋" w:eastAsia="仿宋"/>
          <w:sz w:val="32"/>
          <w:lang w:eastAsia="zh-CN"/>
        </w:rPr>
        <w:t>，</w:t>
      </w:r>
      <w:r>
        <w:rPr>
          <w:rFonts w:hint="eastAsia" w:ascii="仿宋" w:hAnsi="仿宋" w:eastAsia="仿宋"/>
          <w:sz w:val="32"/>
        </w:rPr>
        <w:t>绿色流通基础与管理</w:t>
      </w:r>
      <w:r>
        <w:rPr>
          <w:rFonts w:hint="eastAsia" w:ascii="仿宋" w:hAnsi="仿宋" w:eastAsia="仿宋"/>
          <w:sz w:val="32"/>
          <w:lang w:eastAsia="zh-CN"/>
        </w:rPr>
        <w:t>标准、包括</w:t>
      </w:r>
      <w:r>
        <w:rPr>
          <w:rFonts w:hint="eastAsia" w:ascii="仿宋" w:hAnsi="仿宋" w:eastAsia="仿宋"/>
          <w:sz w:val="32"/>
        </w:rPr>
        <w:t>回收与加工、技术、设施设备、服务与支撑标准</w:t>
      </w:r>
      <w:r>
        <w:rPr>
          <w:rFonts w:hint="eastAsia" w:ascii="仿宋" w:hAnsi="仿宋" w:eastAsia="仿宋"/>
          <w:sz w:val="32"/>
          <w:lang w:eastAsia="zh-CN"/>
        </w:rPr>
        <w:t>，</w:t>
      </w:r>
      <w:r>
        <w:rPr>
          <w:rFonts w:hint="eastAsia" w:ascii="仿宋" w:hAnsi="仿宋" w:eastAsia="仿宋"/>
          <w:sz w:val="32"/>
        </w:rPr>
        <w:t>住宿、餐饮等管理和服务标准</w:t>
      </w:r>
      <w:r>
        <w:rPr>
          <w:rFonts w:hint="eastAsia" w:ascii="仿宋" w:hAnsi="仿宋" w:eastAsia="仿宋"/>
          <w:sz w:val="32"/>
          <w:lang w:eastAsia="zh-CN"/>
        </w:rPr>
        <w:t>，</w:t>
      </w:r>
      <w:r>
        <w:rPr>
          <w:rFonts w:hint="eastAsia" w:ascii="仿宋" w:hAnsi="仿宋" w:eastAsia="仿宋"/>
          <w:sz w:val="32"/>
        </w:rPr>
        <w:t>居民服务业管理和服务标准</w:t>
      </w:r>
      <w:r>
        <w:rPr>
          <w:rFonts w:hint="eastAsia" w:ascii="仿宋" w:hAnsi="仿宋" w:eastAsia="仿宋"/>
          <w:sz w:val="32"/>
          <w:lang w:eastAsia="zh-CN"/>
        </w:rPr>
        <w:t>，</w:t>
      </w:r>
      <w:r>
        <w:rPr>
          <w:rFonts w:hint="eastAsia" w:ascii="仿宋" w:hAnsi="仿宋" w:eastAsia="仿宋"/>
          <w:sz w:val="32"/>
        </w:rPr>
        <w:t>电子商务（数字商务）管理和服务标准</w:t>
      </w:r>
      <w:r>
        <w:rPr>
          <w:rFonts w:hint="eastAsia" w:ascii="仿宋" w:hAnsi="仿宋" w:eastAsia="仿宋"/>
          <w:sz w:val="32"/>
          <w:lang w:eastAsia="zh-CN"/>
        </w:rPr>
        <w:t>，展览及相关业务、租赁、拍卖、直销、商业特许经营、商业信用、中华老字号、商贸古镇等管理和服务标准。</w:t>
      </w:r>
      <w:r>
        <w:rPr>
          <w:rFonts w:hint="eastAsia" w:ascii="仿宋" w:hAnsi="仿宋" w:eastAsia="仿宋"/>
          <w:sz w:val="32"/>
          <w:lang w:val="en-US" w:eastAsia="zh-CN"/>
        </w:rPr>
        <w:t>外经贸标准包括</w:t>
      </w:r>
      <w:r>
        <w:rPr>
          <w:rFonts w:hint="eastAsia" w:ascii="仿宋" w:hAnsi="仿宋" w:eastAsia="仿宋"/>
          <w:sz w:val="32"/>
        </w:rPr>
        <w:t>外经贸业务基础性标准</w:t>
      </w:r>
      <w:r>
        <w:rPr>
          <w:rFonts w:hint="eastAsia" w:ascii="仿宋" w:hAnsi="仿宋" w:eastAsia="仿宋"/>
          <w:sz w:val="32"/>
          <w:lang w:eastAsia="zh-CN"/>
        </w:rPr>
        <w:t>，</w:t>
      </w:r>
      <w:r>
        <w:rPr>
          <w:rFonts w:hint="eastAsia" w:ascii="仿宋" w:hAnsi="仿宋" w:eastAsia="仿宋"/>
          <w:sz w:val="32"/>
        </w:rPr>
        <w:t>外经贸综合性标准和规范</w:t>
      </w:r>
      <w:r>
        <w:rPr>
          <w:rFonts w:hint="eastAsia" w:ascii="仿宋" w:hAnsi="仿宋" w:eastAsia="仿宋"/>
          <w:sz w:val="32"/>
          <w:lang w:eastAsia="zh-CN"/>
        </w:rPr>
        <w:t>，</w:t>
      </w:r>
      <w:r>
        <w:rPr>
          <w:rFonts w:hint="eastAsia" w:ascii="仿宋" w:hAnsi="仿宋" w:eastAsia="仿宋"/>
          <w:sz w:val="32"/>
        </w:rPr>
        <w:t>外经贸专业性标准和规范</w:t>
      </w:r>
      <w:r>
        <w:rPr>
          <w:rFonts w:hint="eastAsia" w:ascii="仿宋" w:hAnsi="仿宋" w:eastAsia="仿宋"/>
          <w:sz w:val="32"/>
          <w:lang w:eastAsia="zh-CN"/>
        </w:rPr>
        <w:t>，国际贸易程序、外经贸业务单证、数据格式和填制标准（除集装箱运输电子数据交换单证），</w:t>
      </w:r>
      <w:r>
        <w:rPr>
          <w:rFonts w:hint="eastAsia" w:ascii="仿宋" w:hAnsi="仿宋" w:eastAsia="仿宋"/>
          <w:sz w:val="32"/>
        </w:rPr>
        <w:t>外经贸电子数据交换标准</w:t>
      </w:r>
      <w:r>
        <w:rPr>
          <w:rFonts w:hint="eastAsia" w:ascii="仿宋" w:hAnsi="仿宋" w:eastAsia="仿宋"/>
          <w:sz w:val="32"/>
          <w:lang w:eastAsia="zh-CN"/>
        </w:rPr>
        <w:t>，</w:t>
      </w:r>
      <w:r>
        <w:rPr>
          <w:rFonts w:hint="eastAsia" w:ascii="仿宋" w:hAnsi="仿宋" w:eastAsia="仿宋"/>
          <w:sz w:val="32"/>
        </w:rPr>
        <w:t>重点商品进出口企业条件和产品质量标准</w:t>
      </w:r>
      <w:r>
        <w:rPr>
          <w:rFonts w:hint="eastAsia" w:ascii="仿宋" w:hAnsi="仿宋" w:eastAsia="仿宋"/>
          <w:sz w:val="32"/>
          <w:lang w:eastAsia="zh-CN"/>
        </w:rPr>
        <w:t>，</w:t>
      </w:r>
      <w:r>
        <w:rPr>
          <w:rFonts w:hint="eastAsia" w:ascii="仿宋" w:hAnsi="仿宋" w:eastAsia="仿宋"/>
          <w:sz w:val="32"/>
        </w:rPr>
        <w:t>国际货运代理</w:t>
      </w:r>
      <w:r>
        <w:rPr>
          <w:rFonts w:hint="eastAsia" w:ascii="仿宋" w:hAnsi="仿宋" w:eastAsia="仿宋"/>
          <w:sz w:val="32"/>
          <w:lang w:eastAsia="zh-CN"/>
        </w:rPr>
        <w:t>。</w:t>
      </w:r>
      <w:r>
        <w:rPr>
          <w:rFonts w:hint="eastAsia" w:ascii="仿宋" w:hAnsi="仿宋" w:eastAsia="仿宋" w:cs="宋体"/>
          <w:kern w:val="0"/>
          <w:sz w:val="32"/>
          <w:szCs w:val="32"/>
          <w:lang w:val="en-US" w:eastAsia="zh-CN"/>
        </w:rPr>
        <w:t>每个行业类别下设相对独立的子体系，以反映各细分行业的特点和需求。</w:t>
      </w:r>
    </w:p>
    <w:p>
      <w:pPr>
        <w:widowControl/>
        <w:autoSpaceDE w:val="0"/>
        <w:autoSpaceDN w:val="0"/>
        <w:spacing w:line="594" w:lineRule="exact"/>
        <w:ind w:firstLine="640" w:firstLineChars="200"/>
        <w:rPr>
          <w:rFonts w:hint="eastAsia" w:ascii="仿宋" w:hAnsi="仿宋" w:eastAsia="仿宋" w:cs="宋体"/>
          <w:kern w:val="0"/>
          <w:sz w:val="32"/>
          <w:szCs w:val="32"/>
          <w:lang w:val="en-US" w:eastAsia="zh-CN"/>
        </w:rPr>
      </w:pPr>
      <w:r>
        <w:rPr>
          <w:rFonts w:hint="eastAsia" w:ascii="楷体" w:hAnsi="楷体" w:eastAsia="楷体" w:cs="楷体"/>
          <w:kern w:val="0"/>
          <w:sz w:val="32"/>
          <w:szCs w:val="32"/>
          <w:lang w:val="en-US" w:eastAsia="zh-CN"/>
        </w:rPr>
        <w:t>2.按标准化对象分。</w:t>
      </w:r>
      <w:r>
        <w:rPr>
          <w:rFonts w:hint="eastAsia" w:ascii="仿宋" w:hAnsi="仿宋" w:eastAsia="仿宋" w:cs="宋体"/>
          <w:kern w:val="0"/>
          <w:sz w:val="32"/>
          <w:szCs w:val="32"/>
          <w:lang w:val="en-US" w:eastAsia="zh-CN"/>
        </w:rPr>
        <w:t>可分为主体、客体、载体、行为、综合5个方面。同一行业内标准化对象可按照流通主体（包括批发商、零售商、餐饮企业等服务组织）、流通客体（农产品、工业消费品、生产资料等商品和服务）、流通载体（商品交易市场、超市、便利店等服务设施）、流通行为（销售、服务、包装、运输、维修等活动）以及综合上述方面形成的共性和综合管理要素来界定。</w:t>
      </w:r>
    </w:p>
    <w:p>
      <w:pPr>
        <w:widowControl/>
        <w:autoSpaceDE w:val="0"/>
        <w:autoSpaceDN w:val="0"/>
        <w:spacing w:line="594" w:lineRule="exact"/>
        <w:ind w:firstLine="640" w:firstLineChars="200"/>
        <w:rPr>
          <w:rFonts w:hint="eastAsia" w:ascii="仿宋" w:hAnsi="仿宋" w:eastAsia="仿宋" w:cs="宋体"/>
          <w:kern w:val="0"/>
          <w:sz w:val="32"/>
          <w:szCs w:val="32"/>
          <w:lang w:val="en-US" w:eastAsia="zh-CN"/>
        </w:rPr>
      </w:pPr>
      <w:r>
        <w:rPr>
          <w:rFonts w:hint="eastAsia" w:ascii="楷体" w:hAnsi="楷体" w:eastAsia="楷体" w:cs="楷体"/>
          <w:kern w:val="0"/>
          <w:sz w:val="32"/>
          <w:szCs w:val="32"/>
          <w:lang w:val="en-US" w:eastAsia="zh-CN"/>
        </w:rPr>
        <w:t>3.按标准性质分。</w:t>
      </w:r>
      <w:r>
        <w:rPr>
          <w:rFonts w:hint="eastAsia" w:ascii="仿宋" w:hAnsi="仿宋" w:eastAsia="仿宋" w:cs="宋体"/>
          <w:kern w:val="0"/>
          <w:sz w:val="32"/>
          <w:szCs w:val="32"/>
          <w:lang w:val="en-US" w:eastAsia="zh-CN"/>
        </w:rPr>
        <w:t>可分为基础标准、管理标准、工作标准、技术标准4个类别。基础标准在一定范围内作为其他标准的基础而普遍适用，包括分类、术语、流通技术及分析方法等。管理标准是对标准化领域中需要协调统一的管理事项所制定的标准，主要规定经济活动中的组织结构、职责权限、过程方法、程序文件等。工作标准是针对具体岗位活动而规定人员和组织在生产经营活动中的职责和权限，对各种过程的定性定量要求、活动程序和考核评价要求。技术标准是对标准化领域中需要协调统一的技术事项而制定的标准。</w:t>
      </w:r>
    </w:p>
    <w:p>
      <w:pPr>
        <w:widowControl/>
        <w:numPr>
          <w:ilvl w:val="0"/>
          <w:numId w:val="0"/>
        </w:numPr>
        <w:autoSpaceDE w:val="0"/>
        <w:autoSpaceDN w:val="0"/>
        <w:spacing w:line="594" w:lineRule="exact"/>
        <w:ind w:firstLine="64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二、标准体系构建方法</w:t>
      </w:r>
    </w:p>
    <w:p>
      <w:pPr>
        <w:widowControl/>
        <w:spacing w:line="594" w:lineRule="exact"/>
        <w:ind w:firstLine="640" w:firstLineChars="200"/>
        <w:rPr>
          <w:rFonts w:hint="eastAsia" w:ascii="仿宋" w:hAnsi="仿宋" w:eastAsia="仿宋" w:cs="仿宋_GB2312"/>
          <w:bCs/>
          <w:color w:val="000000"/>
          <w:sz w:val="32"/>
          <w:szCs w:val="32"/>
          <w:lang w:eastAsia="zh-CN"/>
        </w:rPr>
      </w:pPr>
      <w:r>
        <w:rPr>
          <w:rFonts w:hint="eastAsia" w:ascii="楷体" w:hAnsi="楷体" w:eastAsia="楷体" w:cs="楷体"/>
          <w:kern w:val="0"/>
          <w:sz w:val="32"/>
          <w:szCs w:val="32"/>
          <w:lang w:val="en-US" w:eastAsia="zh-CN"/>
        </w:rPr>
        <w:t>1.服务流程法。</w:t>
      </w:r>
      <w:r>
        <w:rPr>
          <w:rFonts w:hint="eastAsia" w:ascii="仿宋" w:hAnsi="仿宋" w:eastAsia="仿宋" w:cs="仿宋_GB2312"/>
          <w:bCs/>
          <w:color w:val="000000"/>
          <w:sz w:val="32"/>
          <w:szCs w:val="32"/>
        </w:rPr>
        <w:t>适用于服务流程相对固定单一、不因服务对象或服务项目的不同发生变化的服务活动，例如餐饮服务标准体系结构图可以按照“预约—点餐—下单—烹饪—上菜—结账”的服务流程来构建</w:t>
      </w:r>
      <w:r>
        <w:rPr>
          <w:rFonts w:hint="eastAsia" w:ascii="仿宋" w:hAnsi="仿宋" w:eastAsia="仿宋" w:cs="仿宋_GB2312"/>
          <w:bCs/>
          <w:color w:val="000000"/>
          <w:sz w:val="32"/>
          <w:szCs w:val="32"/>
          <w:lang w:eastAsia="zh-CN"/>
        </w:rPr>
        <w:t>。</w:t>
      </w:r>
    </w:p>
    <w:p>
      <w:pPr>
        <w:widowControl/>
        <w:spacing w:line="594" w:lineRule="exact"/>
        <w:ind w:firstLine="640" w:firstLineChars="200"/>
        <w:rPr>
          <w:rFonts w:hint="eastAsia" w:ascii="仿宋" w:hAnsi="仿宋" w:eastAsia="仿宋" w:cs="仿宋_GB2312"/>
          <w:bCs/>
          <w:color w:val="000000"/>
          <w:sz w:val="32"/>
          <w:szCs w:val="32"/>
          <w:lang w:eastAsia="zh-CN"/>
        </w:rPr>
      </w:pPr>
      <w:r>
        <w:rPr>
          <w:rFonts w:hint="eastAsia" w:ascii="楷体" w:hAnsi="楷体" w:eastAsia="楷体" w:cs="楷体"/>
          <w:kern w:val="0"/>
          <w:sz w:val="32"/>
          <w:szCs w:val="32"/>
          <w:lang w:val="en-US" w:eastAsia="zh-CN"/>
        </w:rPr>
        <w:t>2.服务要素法。</w:t>
      </w:r>
      <w:r>
        <w:rPr>
          <w:rFonts w:hint="eastAsia" w:ascii="仿宋" w:hAnsi="仿宋" w:eastAsia="仿宋" w:cs="仿宋_GB2312"/>
          <w:bCs/>
          <w:color w:val="000000"/>
          <w:sz w:val="32"/>
          <w:szCs w:val="32"/>
        </w:rPr>
        <w:t>适用于主要依托各类要素集成而提供服务的活动，例如商贸物流服务标准体系结构图通常按照“运输、储存保管、包装、装卸搬运、流通加工、配送、物流信息”七大要素来构建</w:t>
      </w:r>
      <w:r>
        <w:rPr>
          <w:rFonts w:hint="eastAsia" w:ascii="仿宋" w:hAnsi="仿宋" w:eastAsia="仿宋" w:cs="仿宋_GB2312"/>
          <w:bCs/>
          <w:color w:val="000000"/>
          <w:sz w:val="32"/>
          <w:szCs w:val="32"/>
          <w:lang w:eastAsia="zh-CN"/>
        </w:rPr>
        <w:t>。</w:t>
      </w:r>
    </w:p>
    <w:p>
      <w:pPr>
        <w:widowControl/>
        <w:spacing w:line="594" w:lineRule="exact"/>
        <w:ind w:firstLine="640" w:firstLineChars="200"/>
        <w:rPr>
          <w:rFonts w:hint="eastAsia" w:ascii="仿宋" w:hAnsi="仿宋" w:eastAsia="仿宋" w:cs="仿宋_GB2312"/>
          <w:bCs/>
          <w:color w:val="000000"/>
          <w:sz w:val="32"/>
          <w:szCs w:val="32"/>
          <w:lang w:eastAsia="zh-CN"/>
        </w:rPr>
      </w:pPr>
      <w:r>
        <w:rPr>
          <w:rFonts w:hint="eastAsia" w:ascii="楷体" w:hAnsi="楷体" w:eastAsia="楷体" w:cs="楷体"/>
          <w:kern w:val="0"/>
          <w:sz w:val="32"/>
          <w:szCs w:val="32"/>
          <w:lang w:val="en-US" w:eastAsia="zh-CN"/>
        </w:rPr>
        <w:t>3.服务对象法。</w:t>
      </w:r>
      <w:r>
        <w:rPr>
          <w:rFonts w:hint="eastAsia" w:ascii="仿宋" w:hAnsi="仿宋" w:eastAsia="仿宋" w:cs="仿宋_GB2312"/>
          <w:bCs/>
          <w:color w:val="000000"/>
          <w:sz w:val="32"/>
          <w:szCs w:val="32"/>
        </w:rPr>
        <w:t>适用于因服务对象的不同而需提供不同服务项目的服务活动，例如家政养老服务标准体系结构图可以按照自理老年人、半自理老年人、失能老年人的不同种类来构建，其中，面向自理老年人的服务项目可包括心理咨询、紧急救援服务，而面向失能老年人的服务项目则包括健康监护、日间照料等</w:t>
      </w:r>
      <w:r>
        <w:rPr>
          <w:rFonts w:hint="eastAsia" w:ascii="仿宋" w:hAnsi="仿宋" w:eastAsia="仿宋" w:cs="仿宋_GB2312"/>
          <w:bCs/>
          <w:color w:val="000000"/>
          <w:sz w:val="32"/>
          <w:szCs w:val="32"/>
          <w:lang w:eastAsia="zh-CN"/>
        </w:rPr>
        <w:t>。</w:t>
      </w:r>
    </w:p>
    <w:p>
      <w:pPr>
        <w:widowControl/>
        <w:spacing w:line="594" w:lineRule="exact"/>
        <w:ind w:firstLine="640" w:firstLineChars="200"/>
        <w:rPr>
          <w:rFonts w:ascii="仿宋" w:hAnsi="仿宋" w:eastAsia="仿宋" w:cs="仿宋_GB2312"/>
          <w:bCs/>
          <w:color w:val="000000"/>
          <w:sz w:val="32"/>
          <w:szCs w:val="32"/>
        </w:rPr>
      </w:pPr>
      <w:r>
        <w:rPr>
          <w:rFonts w:hint="eastAsia" w:ascii="楷体" w:hAnsi="楷体" w:eastAsia="楷体" w:cs="楷体"/>
          <w:kern w:val="0"/>
          <w:sz w:val="32"/>
          <w:szCs w:val="32"/>
          <w:lang w:val="en-US" w:eastAsia="zh-CN"/>
        </w:rPr>
        <w:t>4.服务项目法。</w:t>
      </w:r>
      <w:r>
        <w:rPr>
          <w:rFonts w:hint="eastAsia" w:ascii="仿宋" w:hAnsi="仿宋" w:eastAsia="仿宋" w:cs="仿宋_GB2312"/>
          <w:bCs/>
          <w:color w:val="000000"/>
          <w:sz w:val="32"/>
          <w:szCs w:val="32"/>
        </w:rPr>
        <w:t>适用于通常提供不同组合、不同种类服务项目的服务活动，例如汽车售后服务标准体系结构图可以按照汽车维修、汽车租赁、汽车美容、汽车检测、二手车经营等来构建。</w:t>
      </w:r>
    </w:p>
    <w:p>
      <w:pPr>
        <w:widowControl/>
        <w:numPr>
          <w:ilvl w:val="0"/>
          <w:numId w:val="0"/>
        </w:numPr>
        <w:autoSpaceDE w:val="0"/>
        <w:autoSpaceDN w:val="0"/>
        <w:spacing w:line="594" w:lineRule="exact"/>
        <w:ind w:firstLine="64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三、标准体系参考示例（以流通领域供应链标准体系为例）</w:t>
      </w:r>
    </w:p>
    <w:p>
      <w:pPr>
        <w:widowControl/>
        <w:spacing w:line="594" w:lineRule="exact"/>
        <w:ind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流通领域供应链标准体系按流通要素可分为通用基础标准、商流标准、物流标准、信息流标准、资金流标准5个子体系。</w:t>
      </w:r>
    </w:p>
    <w:p>
      <w:pPr>
        <w:widowControl/>
        <w:spacing w:line="594" w:lineRule="exact"/>
        <w:ind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标准体系结构包括两层：第一层为通用基础标准子体系，第二层为商流标准子体系、物流标准子体系、信息流标准子体系、资金流标准子体系。流通领域供应链标准体系关系图如图1所示。</w:t>
      </w:r>
    </w:p>
    <w:p>
      <w:pPr>
        <w:widowControl/>
        <w:spacing w:line="594" w:lineRule="exact"/>
        <w:ind w:firstLine="420" w:firstLineChars="200"/>
        <w:rPr>
          <w:rFonts w:hint="eastAsia" w:ascii="仿宋" w:hAnsi="仿宋" w:eastAsia="仿宋" w:cs="仿宋_GB2312"/>
          <w:bCs/>
          <w:color w:val="000000"/>
          <w:sz w:val="32"/>
          <w:szCs w:val="32"/>
          <w:lang w:val="en-US" w:eastAsia="zh-CN"/>
        </w:rPr>
      </w:pPr>
      <w:r>
        <w:drawing>
          <wp:anchor distT="0" distB="0" distL="114935" distR="114935" simplePos="0" relativeHeight="251723776" behindDoc="0" locked="0" layoutInCell="1" allowOverlap="1">
            <wp:simplePos x="0" y="0"/>
            <wp:positionH relativeFrom="column">
              <wp:posOffset>8890</wp:posOffset>
            </wp:positionH>
            <wp:positionV relativeFrom="paragraph">
              <wp:posOffset>257175</wp:posOffset>
            </wp:positionV>
            <wp:extent cx="5463540" cy="2585085"/>
            <wp:effectExtent l="0" t="0" r="3810" b="5715"/>
            <wp:wrapNone/>
            <wp:docPr id="1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
                    <pic:cNvPicPr>
                      <a:picLocks noChangeAspect="1"/>
                    </pic:cNvPicPr>
                  </pic:nvPicPr>
                  <pic:blipFill>
                    <a:blip r:embed="rId13"/>
                    <a:stretch>
                      <a:fillRect/>
                    </a:stretch>
                  </pic:blipFill>
                  <pic:spPr>
                    <a:xfrm>
                      <a:off x="0" y="0"/>
                      <a:ext cx="5463540" cy="2585085"/>
                    </a:xfrm>
                    <a:prstGeom prst="rect">
                      <a:avLst/>
                    </a:prstGeom>
                    <a:noFill/>
                    <a:ln>
                      <a:noFill/>
                    </a:ln>
                  </pic:spPr>
                </pic:pic>
              </a:graphicData>
            </a:graphic>
          </wp:anchor>
        </w:drawing>
      </w: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spacing w:line="594" w:lineRule="exact"/>
        <w:ind w:firstLine="640" w:firstLineChars="200"/>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jc w:val="both"/>
        <w:rPr>
          <w:rFonts w:hint="eastAsia" w:ascii="仿宋" w:hAnsi="仿宋" w:eastAsia="仿宋" w:cs="宋体"/>
          <w:kern w:val="0"/>
          <w:sz w:val="32"/>
          <w:szCs w:val="32"/>
          <w:lang w:val="en-US" w:eastAsia="zh-CN"/>
        </w:rPr>
      </w:pP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_GB2312"/>
          <w:bCs/>
          <w:color w:val="000000"/>
          <w:sz w:val="32"/>
          <w:szCs w:val="32"/>
          <w:lang w:val="en-US" w:eastAsia="zh-CN"/>
        </w:rPr>
        <w:t xml:space="preserve"> 1.通用基础标准子体系。</w:t>
      </w:r>
      <w:r>
        <w:rPr>
          <w:rFonts w:hint="eastAsia" w:ascii="仿宋" w:hAnsi="仿宋" w:eastAsia="仿宋" w:cs="宋体"/>
          <w:kern w:val="0"/>
          <w:sz w:val="32"/>
          <w:szCs w:val="32"/>
          <w:lang w:val="en-US" w:eastAsia="zh-CN"/>
        </w:rPr>
        <w:t>通用基础标准子体系是对所有</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宋体"/>
          <w:kern w:val="0"/>
          <w:sz w:val="32"/>
          <w:szCs w:val="32"/>
          <w:lang w:val="en-US" w:eastAsia="zh-CN"/>
        </w:rPr>
        <w:t>从事流通领域相关业务的组织直接或间接适用，同时又具有广泛指导作用的标准，包括标准化导则与指南、术语与缩略语标准、符号与标志标准、量和单位标准、测量标准。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1.1体系结构。体系结构如图2所示。</w:t>
      </w: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r>
        <w:drawing>
          <wp:anchor distT="0" distB="0" distL="114300" distR="114300" simplePos="0" relativeHeight="251718656" behindDoc="0" locked="0" layoutInCell="1" allowOverlap="1">
            <wp:simplePos x="0" y="0"/>
            <wp:positionH relativeFrom="column">
              <wp:posOffset>0</wp:posOffset>
            </wp:positionH>
            <wp:positionV relativeFrom="paragraph">
              <wp:posOffset>-2764790</wp:posOffset>
            </wp:positionV>
            <wp:extent cx="5273040" cy="3053715"/>
            <wp:effectExtent l="0" t="0" r="3810" b="13335"/>
            <wp:wrapNone/>
            <wp:docPr id="1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
                    <pic:cNvPicPr>
                      <a:picLocks noChangeAspect="1"/>
                    </pic:cNvPicPr>
                  </pic:nvPicPr>
                  <pic:blipFill>
                    <a:blip r:embed="rId14"/>
                    <a:stretch>
                      <a:fillRect/>
                    </a:stretch>
                  </pic:blipFill>
                  <pic:spPr>
                    <a:xfrm>
                      <a:off x="0" y="0"/>
                      <a:ext cx="5273040" cy="3053715"/>
                    </a:xfrm>
                    <a:prstGeom prst="rect">
                      <a:avLst/>
                    </a:prstGeom>
                    <a:noFill/>
                    <a:ln>
                      <a:noFill/>
                    </a:ln>
                  </pic:spPr>
                </pic:pic>
              </a:graphicData>
            </a:graphic>
          </wp:anchor>
        </w:drawing>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1.2 体系内容</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1.2.1 标准化导则与指南。对流通领域供应链相关要素和对象给出一般性、原则性、方向性的信息、指导或建议。</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1.2.2 术语与缩略语标准。对流通领域供应链业务涉及的术语进行定义，对较长词句缩短省略。</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1.2.3 符号与标志标准。对流通领域供应链业务涉及安全、卫生、环保以及服务引导等的图形、符号、标识和标志的样式、颜色、字体、结构、含义以及应用范围等进行规范。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1.2.4 量和单位标准。对流通领域供应链业务涉及的物理量以及量的单位、符号的使用和表示方法进行规范。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1.2.5 测量标准。对于流通领域供应链服务的时效性、经济性、安全性、有效性等方面的要求进行验证的定量或者定性的方式方法。</w:t>
      </w:r>
    </w:p>
    <w:p>
      <w:pPr>
        <w:widowControl/>
        <w:autoSpaceDE w:val="0"/>
        <w:autoSpaceDN w:val="0"/>
        <w:spacing w:line="594"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仿宋_GB2312"/>
          <w:bCs/>
          <w:color w:val="000000"/>
          <w:sz w:val="32"/>
          <w:szCs w:val="32"/>
          <w:lang w:val="en-US" w:eastAsia="zh-CN"/>
        </w:rPr>
        <w:t>2.商流标准子体系。</w:t>
      </w:r>
      <w:r>
        <w:rPr>
          <w:rFonts w:hint="eastAsia" w:ascii="仿宋" w:hAnsi="仿宋" w:eastAsia="仿宋" w:cs="宋体"/>
          <w:kern w:val="0"/>
          <w:sz w:val="32"/>
          <w:szCs w:val="32"/>
          <w:lang w:val="en-US" w:eastAsia="zh-CN"/>
        </w:rPr>
        <w:t>商流标准子体系是由商品所有权转移引起的所有商务、交易活动的标准，包括商流基础标准、商流技术标准、商流管理标准、商流服务标准等。</w:t>
      </w:r>
    </w:p>
    <w:p>
      <w:pPr>
        <w:widowControl/>
        <w:numPr>
          <w:ilvl w:val="0"/>
          <w:numId w:val="0"/>
        </w:numPr>
        <w:autoSpaceDE w:val="0"/>
        <w:autoSpaceDN w:val="0"/>
        <w:spacing w:line="594" w:lineRule="exact"/>
        <w:jc w:val="both"/>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2.1体系结构。体系结构如图3所示。</w:t>
      </w: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r>
        <w:drawing>
          <wp:anchor distT="0" distB="0" distL="114300" distR="114300" simplePos="0" relativeHeight="251719680" behindDoc="0" locked="0" layoutInCell="1" allowOverlap="1">
            <wp:simplePos x="0" y="0"/>
            <wp:positionH relativeFrom="column">
              <wp:posOffset>150495</wp:posOffset>
            </wp:positionH>
            <wp:positionV relativeFrom="paragraph">
              <wp:posOffset>172085</wp:posOffset>
            </wp:positionV>
            <wp:extent cx="5277485" cy="2758440"/>
            <wp:effectExtent l="0" t="0" r="18415" b="3810"/>
            <wp:wrapNone/>
            <wp:docPr id="1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
                    <pic:cNvPicPr>
                      <a:picLocks noChangeAspect="1"/>
                    </pic:cNvPicPr>
                  </pic:nvPicPr>
                  <pic:blipFill>
                    <a:blip r:embed="rId15"/>
                    <a:stretch>
                      <a:fillRect/>
                    </a:stretch>
                  </pic:blipFill>
                  <pic:spPr>
                    <a:xfrm>
                      <a:off x="0" y="0"/>
                      <a:ext cx="5277485" cy="2758440"/>
                    </a:xfrm>
                    <a:prstGeom prst="rect">
                      <a:avLst/>
                    </a:prstGeom>
                    <a:noFill/>
                    <a:ln>
                      <a:noFill/>
                    </a:ln>
                  </pic:spPr>
                </pic:pic>
              </a:graphicData>
            </a:graphic>
          </wp:anchor>
        </w:drawing>
      </w: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 体系内容</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2.2.1 商流基础标准</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2.2.1.1 基础描述标准。对商流活动中各类活动及产品基本内容进行描述。</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2.2.2 商流技术标准</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2.2.2.1 采购标准。对商流采购环节中的规程、规范、指南等方面进行规范。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2.2.2.2 销售标准。对商流销售环节中的规程、规范、指南等方面进行规范。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2.2.2.3 交易标准。对商流交易环节中的技术规范、交易规程等方面进行规范。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2.2.3 商流管理标准</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2.2.3.1 供应商管理标准。对流通领域供应商进行规范，包括供应商管理规范、产品召回指南、同质竞争管理规范等。</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2.2.3.2 从业人员管理标准。对商流环节中的从业人员进行规范,包括人员从业资质、职业健康安全管理等。</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2.2.3.3 合同管理标准。对商流环节中的合同进行规范。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2.2.3.4 市场经营管理标准。对商流环节中各类市场的经营管理进行规范，包括交易市场经营管理、市场建设管理、市场等级划分等。</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2.2.3.5 安全应急标准。对商流环节中产品、消费品、店铺的安全防范与应急处理等方面进行规范，包括安全风险监测及评估、产品质量安全、突发事件应急。</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2.3.3.6 信用评价与改进标准。对商流环节中的信用体系建设方面进行规范，包括信用表示、信用信息的采集与管理、信用等级评价等。</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2.2.3.7 质量管理标准。对商流环节中的成本、效益进行管理控制。</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2.2.4 商流服务标准</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2.2.4.1 服务标准。对商流环节中服务范围、服务内容以及服务提供的方法、程序、要求等方面进行规范。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2.2.4.2 服务质量与监督标准。对商流服务过程中质押、售后等进行规范。</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2.2.4.3 服务评价标准。对商流的标准体系开展有效性、适宜性和满意度调查，并通过不断改进服务、提高服务质量，建立完善科学管理的有效方法。</w:t>
      </w:r>
    </w:p>
    <w:p>
      <w:pPr>
        <w:widowControl/>
        <w:numPr>
          <w:ilvl w:val="0"/>
          <w:numId w:val="0"/>
        </w:numPr>
        <w:autoSpaceDE w:val="0"/>
        <w:autoSpaceDN w:val="0"/>
        <w:spacing w:line="594" w:lineRule="exact"/>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    2.2.4.4 其他标准。对商流领域内其他服务事项进行管理。</w:t>
      </w:r>
    </w:p>
    <w:p>
      <w:pPr>
        <w:widowControl/>
        <w:autoSpaceDE w:val="0"/>
        <w:autoSpaceDN w:val="0"/>
        <w:spacing w:line="594" w:lineRule="exact"/>
        <w:ind w:firstLine="640" w:firstLineChars="200"/>
        <w:rPr>
          <w:rFonts w:hint="eastAsia" w:ascii="仿宋" w:hAnsi="仿宋" w:eastAsia="仿宋" w:cs="宋体"/>
          <w:kern w:val="0"/>
          <w:sz w:val="32"/>
          <w:szCs w:val="32"/>
          <w:lang w:val="en-US" w:eastAsia="zh-CN"/>
        </w:rPr>
      </w:pPr>
      <w:r>
        <w:rPr>
          <w:rFonts w:hint="eastAsia" w:ascii="仿宋" w:hAnsi="仿宋" w:eastAsia="仿宋" w:cs="仿宋_GB2312"/>
          <w:bCs/>
          <w:color w:val="000000"/>
          <w:sz w:val="32"/>
          <w:szCs w:val="32"/>
          <w:lang w:val="en-US" w:eastAsia="zh-CN"/>
        </w:rPr>
        <w:t>3.物流标准子体系。</w:t>
      </w:r>
      <w:r>
        <w:rPr>
          <w:rFonts w:hint="eastAsia" w:ascii="仿宋" w:hAnsi="仿宋" w:eastAsia="仿宋" w:cs="宋体"/>
          <w:kern w:val="0"/>
          <w:sz w:val="32"/>
          <w:szCs w:val="32"/>
          <w:lang w:val="en-US" w:eastAsia="zh-CN"/>
        </w:rPr>
        <w:t>物流标准子体系是由商品实体完成空间转移所引起的所有经济活动的标准，包括公共物流标准、专业物流标准等。</w:t>
      </w:r>
    </w:p>
    <w:p>
      <w:pPr>
        <w:widowControl/>
        <w:numPr>
          <w:ilvl w:val="0"/>
          <w:numId w:val="0"/>
        </w:numPr>
        <w:autoSpaceDE w:val="0"/>
        <w:autoSpaceDN w:val="0"/>
        <w:spacing w:line="594" w:lineRule="exact"/>
        <w:ind w:firstLine="640"/>
        <w:jc w:val="both"/>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3.1体系结构。体系结构如图4所示。</w:t>
      </w: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r>
        <w:drawing>
          <wp:anchor distT="0" distB="0" distL="114300" distR="114300" simplePos="0" relativeHeight="251720704" behindDoc="0" locked="0" layoutInCell="1" allowOverlap="1">
            <wp:simplePos x="0" y="0"/>
            <wp:positionH relativeFrom="column">
              <wp:posOffset>-436880</wp:posOffset>
            </wp:positionH>
            <wp:positionV relativeFrom="paragraph">
              <wp:posOffset>44450</wp:posOffset>
            </wp:positionV>
            <wp:extent cx="6210300" cy="2604770"/>
            <wp:effectExtent l="0" t="0" r="0" b="5080"/>
            <wp:wrapNone/>
            <wp:docPr id="1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
                    <pic:cNvPicPr>
                      <a:picLocks noChangeAspect="1"/>
                    </pic:cNvPicPr>
                  </pic:nvPicPr>
                  <pic:blipFill>
                    <a:blip r:embed="rId16"/>
                    <a:stretch>
                      <a:fillRect/>
                    </a:stretch>
                  </pic:blipFill>
                  <pic:spPr>
                    <a:xfrm>
                      <a:off x="0" y="0"/>
                      <a:ext cx="6210300" cy="2604770"/>
                    </a:xfrm>
                    <a:prstGeom prst="rect">
                      <a:avLst/>
                    </a:prstGeom>
                    <a:noFill/>
                    <a:ln>
                      <a:noFill/>
                    </a:ln>
                  </pic:spPr>
                </pic:pic>
              </a:graphicData>
            </a:graphic>
          </wp:anchor>
        </w:drawing>
      </w: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3.2体系内容</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 公共物流标准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3.2.1.1 物流基础标准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3.2.1.1.1 物流分类标准。对物流相关要素和对象进行分类。</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3.2.1.1.2 物流模数标准。对物流相关各要素尺寸的标准尺度进行规范。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3.2.1.2 物流技术标准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3.2.1.2.1 设施设备标准。对物流过程中应用的设施、使用的设备和用品用具等方面进行规范，包括设施标准、仓储设备标准、运输设备标准、配送设备标准、装卸搬运设备标准、包装设备标准、流通加工设备标准、用品用具标准（托盘标准、周转箱标准、集装箱标准、笼车标准、包装物标准、手工作业工具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3.2.1.2.2 作业标准。对物流过程中涉及的作业技术进行规范。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3.2.1.2.3 物流环节技术标准。对物流仓储、运输、配送、装卸搬运、包装和流通加工等环节中需要协调统一的技术事项进行规范。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 物流管理标准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3.2.1.3.1 从业人员管理标准。对物流从业人员资质及从事职业活动中的健康损害进行规范，包括人员从业资质、职业健康管理等。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3.2.1.3.2 物流规划标准。对物流的发展进行规划和设计，包括战略规划、物流系统规划、设施设备规划、物流园区(物流中心、物流节点、物流枢纽、物流基地、物流市场、物流集散地、物流场地、物流用地等)规划等。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3.2.1.3.3 物流统计标准。对物流过程中涉及到的各类统计事项进行规范，包括物流投入统计（劳动力投入统计、劳动对象投入统计、劳动资料投入统计）、物流成本统计、 物流产出统计（物流实物量统计、物流价值量统计、物流企业利润统计、物流服务质量统计）等。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3.2.1.3.4 环境标准。对物流过程中涉及到的环境条件、环境保护和用能、节能等方面进行规范。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3.2.1.3.5 安全与应急标准。对物流服务结果和物流服务提供过程中安全防范与应急处理等方面进行规范，包括安全标志、报警信号、安全工作管理、物流设施设备安全标准、设备使用安全标准、货物安全、作业人员安全、服务提供场所安全、突发事件应急、</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3.2.1.3.6 诚信管理标准.对物流业信用体系建设方面进行规范。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3.2.1.3.7 风险管理标准。对物流过程中发生的风险进行管理控制。</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3.2.1.3.8 物流评价和评估标准。对物流过程中涉及到的绩效、信用、风险和客户满意度等方面进行评价、评估。</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3.2.1.3.9 其他标准。对物流过程中涉及到的其他管理事项进行规范。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3.2.1.4 物流运营与服务标准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3.2.1.4.1 服务标准。对物流服务实现过程中服务范围、服务内容以及服务提供的方法、程序、要求等方面进行规范。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3.2.1.4.2 运行管理标准。对物流服务提供过程中“人、机、料、法、环（境）、信（息）、（监）测”的设计和落实措施等方面进行规范。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3.2.1.4.3 服务质量控制标准。对物流服务提供过程中服务应达到的水平和要求进行规范。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3.2.1.4.4 服务评价与改进标准。对物流的标准体系开展有效性、适宜性和满意度调查，并通过不断改进服务、提高服务质量，建立完善科学管理的有效方法，包括满意度调查与管理、标准体系管理评审等。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3.2.1.4.5 其他标准。对物流过程中涉及到的其他服务事项进行规范。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 专业物流标准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3.2.2.1 农产品物流标准。对农产品行业在物流过程中需要协调统一的技术、管理和运营服务等事项进行规范。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3.2.2.2 快消品物流标准。对快消品行业在物流过程中需要协调统一的技术、管理和运营服务等事项进行规范。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3.2.2.3 医药物流标准。对医药行业在物流过程中需要协调统一的技术、管理和运营服务等事项进行规范。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3.2.2.4 电子商务物流标准。对电子商务行业在物流过程中需要协调统一的技术、管理和运营服务等事项进行规范。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3.2.2.5 家电物流标准。对家电行业在物流过程中需要协调统一的技术、管理和运营服务等事项进行规范。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3.2.2.6 汽车和零部（配）件物流标准。对汽车和零部（配）件行业在物流过程中需要协调统一的技术、管理和运营服务等事项进行规范。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3.2.2.7 电子产品物流标准。对电子产品行业在物流过程中需要协调统一的技术、管理和运营服务等事项进行规范。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3.2.2.8 纺织服装物流标准。对纺织服装行业在物流过程中需要协调统一的技术、管理和运营服务等事项进行规范。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3.2.2.9 家具物流标准。对家具行业在物流过程中需要协调统一的技术、管理和运营服务等事项进行规范。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3.2.2.10 其他物流标准。对国民经济中其他行业在物流过程中需要协调统一的技术、管理和运营服务等事项进行规范。</w:t>
      </w:r>
    </w:p>
    <w:p>
      <w:pPr>
        <w:widowControl/>
        <w:numPr>
          <w:ilvl w:val="0"/>
          <w:numId w:val="0"/>
        </w:numPr>
        <w:autoSpaceDE w:val="0"/>
        <w:autoSpaceDN w:val="0"/>
        <w:spacing w:line="594" w:lineRule="exact"/>
        <w:ind w:firstLine="640"/>
        <w:jc w:val="both"/>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4.信息流标准子体系。</w:t>
      </w:r>
      <w:r>
        <w:rPr>
          <w:rFonts w:hint="eastAsia" w:ascii="仿宋" w:hAnsi="仿宋" w:eastAsia="仿宋" w:cs="宋体"/>
          <w:kern w:val="0"/>
          <w:sz w:val="32"/>
          <w:szCs w:val="32"/>
          <w:lang w:val="en-US" w:eastAsia="zh-CN"/>
        </w:rPr>
        <w:t>信息流标准子体系是由商流、物流和资金流引起相关信息交互运动的标准，包括信息基础标准、信息技术标准、信息管理标准、信息服务标准等。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4.1体系结构。体系结构如图5所示。</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drawing>
          <wp:anchor distT="0" distB="0" distL="114300" distR="114300" simplePos="0" relativeHeight="251721728" behindDoc="0" locked="0" layoutInCell="1" allowOverlap="1">
            <wp:simplePos x="0" y="0"/>
            <wp:positionH relativeFrom="column">
              <wp:posOffset>38100</wp:posOffset>
            </wp:positionH>
            <wp:positionV relativeFrom="paragraph">
              <wp:posOffset>282575</wp:posOffset>
            </wp:positionV>
            <wp:extent cx="5276850" cy="2667000"/>
            <wp:effectExtent l="0" t="0" r="0" b="0"/>
            <wp:wrapNone/>
            <wp:docPr id="1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7"/>
                    <pic:cNvPicPr>
                      <a:picLocks noChangeAspect="1"/>
                    </pic:cNvPicPr>
                  </pic:nvPicPr>
                  <pic:blipFill>
                    <a:blip r:embed="rId17"/>
                    <a:stretch>
                      <a:fillRect/>
                    </a:stretch>
                  </pic:blipFill>
                  <pic:spPr>
                    <a:xfrm>
                      <a:off x="0" y="0"/>
                      <a:ext cx="5276850" cy="2667000"/>
                    </a:xfrm>
                    <a:prstGeom prst="rect">
                      <a:avLst/>
                    </a:prstGeom>
                    <a:noFill/>
                    <a:ln>
                      <a:noFill/>
                    </a:ln>
                  </pic:spPr>
                </pic:pic>
              </a:graphicData>
            </a:graphic>
          </wp:anchor>
        </w:drawing>
      </w: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jc w:val="both"/>
        <w:rPr>
          <w:rFonts w:hint="eastAsia" w:ascii="黑体" w:hAnsi="黑体" w:eastAsia="黑体" w:cs="黑体"/>
          <w:b w:val="0"/>
          <w:bCs w:val="0"/>
          <w:kern w:val="0"/>
          <w:sz w:val="32"/>
          <w:szCs w:val="32"/>
          <w:lang w:val="en-US" w:eastAsia="zh-CN"/>
        </w:rPr>
      </w:pPr>
    </w:p>
    <w:p>
      <w:pPr>
        <w:widowControl/>
        <w:numPr>
          <w:ilvl w:val="0"/>
          <w:numId w:val="0"/>
        </w:numPr>
        <w:autoSpaceDE w:val="0"/>
        <w:autoSpaceDN w:val="0"/>
        <w:spacing w:line="594" w:lineRule="exact"/>
        <w:ind w:firstLine="640"/>
        <w:jc w:val="both"/>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 体系内容</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4.2.1 信息基础标准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4.2.1.1 单证标准。对流通领域供应链活动中的各种通用单证进行规范。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4.2.1.2 报文标准。对流通领域供应链活动中的各种通用报文标准进行规范。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4.2.2 信息技术标准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4.2.2.1 信息分类与编码标准。对流通领域供应链中的各类信息分类、编码、代码进行规范，包括分类与编码基础标准、产品与服务分类代码标准、贸易单元编码标准、物流单元编码标准、物流与贸易单证编码标准、物流参与方与位置编码标准、物流设施设备与作业编码标准、其他信息分类编码标准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4.2.2.2 信息采集标准。对流通领域供应链中的各类信息采集方法，手段，格式等进行统一规定，包括自动识别设备标准、自动识别技术应用标准、物流节点信息采集标准、企业端信息采集标准等。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4.2.2.3 信息传递与交换标准。对流通领域供应链中的各类信息通信协议、传输方式、传送速度、数据格式、安全保密、交换程序等进行统一规定，包括基本信息交换标准、政务信息交换标准、增值业务信息交换标准等。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4.2.2.4 信息存储与记录标准。对流通领域供应链中的各类信息的记录、存储和检索模式等进行规定。</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4.2.2.5 其他标准。对流通领域供应链信息技术领域内需要协调统一的其他技术进行规范。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4.2.3 信息管理标准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4.2.3.1 信息安全标准。对流通领域供应链信息系统（包括设备，软件，信息和数据等）的安全访问进行规范。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 xml:space="preserve">4.2.3.2 信息系统及平台标准。对流通领域供应链中的信息系统和信息平台进行规范，包括公共基础平台标准、信息系统标准、专业信息平台标准、政府监管与决策平台标准。  </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4.2.3.3 信息管理与应用标准。对流通领域供应链中的各种信息管理和应用系统包括企业内部的ERP、MRP系统和企业间信息系统进行规范。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4.2.3.4 其他标准。对流通领域供应链信息管理中需要协调统一的其他事项进行规范。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4.2.4 信息服务标准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4.2.4.1 信息从业人员服务标准。对信息流环节中的从业人员进行规范,包括人员从业资质、职业健康安全管理、信息中介服务规范、服务质量要求等。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4.2.4.2 信息增值服务标准。对基于流通领域供应链信息系统中商流、资金流、物流等方面的信息资源，所进行的向社会各界提供有偿的市场信息服务进行规范。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4.2.4.3 信息系统评价标准。对流通领域供应链信息系统产品进行测评、评价进行规范。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4.2.4.4 其他标准。对流通领域供应链信息服务中需要协调统一的其他事项进行规范。</w:t>
      </w:r>
    </w:p>
    <w:p>
      <w:pPr>
        <w:widowControl/>
        <w:numPr>
          <w:ilvl w:val="0"/>
          <w:numId w:val="0"/>
        </w:numPr>
        <w:autoSpaceDE w:val="0"/>
        <w:autoSpaceDN w:val="0"/>
        <w:spacing w:line="594" w:lineRule="exact"/>
        <w:ind w:firstLine="640"/>
        <w:jc w:val="both"/>
        <w:rPr>
          <w:rFonts w:hint="default"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5.资金流标准子体系。资金流标准子体系是由商流和物流所引起的资金运动全过程的标准，包括资金技术标准、资金管理标准、资金服务标准等。</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5.1 体系结构。体系结构如图6所示。</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drawing>
          <wp:anchor distT="0" distB="0" distL="114300" distR="114300" simplePos="0" relativeHeight="251722752" behindDoc="0" locked="0" layoutInCell="1" allowOverlap="1">
            <wp:simplePos x="0" y="0"/>
            <wp:positionH relativeFrom="column">
              <wp:posOffset>63500</wp:posOffset>
            </wp:positionH>
            <wp:positionV relativeFrom="paragraph">
              <wp:posOffset>54610</wp:posOffset>
            </wp:positionV>
            <wp:extent cx="5277485" cy="2885440"/>
            <wp:effectExtent l="0" t="0" r="18415" b="10160"/>
            <wp:wrapNone/>
            <wp:docPr id="1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8"/>
                    <pic:cNvPicPr>
                      <a:picLocks noChangeAspect="1"/>
                    </pic:cNvPicPr>
                  </pic:nvPicPr>
                  <pic:blipFill>
                    <a:blip r:embed="rId18"/>
                    <a:stretch>
                      <a:fillRect/>
                    </a:stretch>
                  </pic:blipFill>
                  <pic:spPr>
                    <a:xfrm>
                      <a:off x="0" y="0"/>
                      <a:ext cx="5277485" cy="2885440"/>
                    </a:xfrm>
                    <a:prstGeom prst="rect">
                      <a:avLst/>
                    </a:prstGeom>
                    <a:noFill/>
                    <a:ln>
                      <a:noFill/>
                    </a:ln>
                  </pic:spPr>
                </pic:pic>
              </a:graphicData>
            </a:graphic>
          </wp:anchor>
        </w:drawing>
      </w:r>
    </w:p>
    <w:p>
      <w:pPr>
        <w:widowControl/>
        <w:numPr>
          <w:ilvl w:val="0"/>
          <w:numId w:val="0"/>
        </w:numPr>
        <w:autoSpaceDE w:val="0"/>
        <w:autoSpaceDN w:val="0"/>
        <w:spacing w:line="594" w:lineRule="exact"/>
        <w:ind w:firstLine="640"/>
        <w:jc w:val="both"/>
        <w:rPr>
          <w:rFonts w:hint="default"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 体系内容</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 资金流技术标准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5.2.1.1 机具标准。对流通领域供应链中资金流活动中所使用的机械和工具进行规范。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5.2.1.2 检测认证标准。对由国家认可的认证机构证明流通领域供应链资金流活动中所涉及产品、服务、管理体系等应符合的具体技术和要求进行规范。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5.2.1.3 支付清算标准。对伴随供应链商务活动而发生的支付清算进行规范。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5.2.1.4 流动资产评估体系标准。对伴随流通领域供应链商务活动而发生的实物类流动资产、货币性资产、应收账项流动资产及其他流动资产评估体系进行规范。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5.2.1.5 基础运行环境与网络标准。对支撑流通领域供应链资金流活动所需基础运行环境及网络进行规范。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5.2.1.6 研发测试运维标准。对支撑流通领域资金流活动所需研发测试运维进行规范。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 资金流管理标准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5.2.2.1 资金安全标准。对流通领域供应链中的资金流安全进行规范。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5.2.2.2 保险标准。对流通领域供应链资金流活动中根据合同约定，向保险人支付保险费，保险人对于合同约定的可能发生的事故因其发生所造成的财产损失承担赔偿保险金责任的商业行为进行规范。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5.2.2.3 资金统计标准。对流通领域供应链资金流活动数据的收集、分析、解释和表述等管理行为进行规范。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5.2.2.4 资金计划管理标准。对流通领域供应链商务活动中，为维持企业的财务流动性和适当的资本结构，以有限的资金谋取最大的效益，而采取的关于资金计划、筹措和使用等管理行为进行规范。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5.2.2.5 资金风险管控标准。对流通领域供应链商务活动中，为节约经营成本、降低资金流风险发生率而采取的风险识别、风险估测、风险评价、风险控制和风险管理效果评价等措施进行规范。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5.2.2.6 支付信用体系标准。对流通领域供应链商务活动中，对交易、清算和结算等资金、债权转移过程中信用体系建立进行规范。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5.2.3 资金流服务标准</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5.2.3.1 结算标准。对流通领域供应链商务活动中的收、付款等资金结算服务进行规范。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5.2.3.2 融资标准。对流通领域供应链商务活动中，为支付超过现金的购货款而采取的货币交易手段或为取得资产而集资所采取的货币手段进行规范。</w:t>
      </w:r>
    </w:p>
    <w:p>
      <w:pPr>
        <w:widowControl/>
        <w:numPr>
          <w:ilvl w:val="0"/>
          <w:numId w:val="0"/>
        </w:numPr>
        <w:autoSpaceDE w:val="0"/>
        <w:autoSpaceDN w:val="0"/>
        <w:spacing w:line="594" w:lineRule="exact"/>
        <w:ind w:firstLine="640"/>
        <w:jc w:val="both"/>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5.2.3.3 资金垫付标准。对流通领域供应链商务活动中暂时替别人付钱的具体服务进行规范。</w:t>
      </w:r>
    </w:p>
    <w:p>
      <w:pPr>
        <w:widowControl/>
        <w:spacing w:line="594" w:lineRule="exact"/>
        <w:ind w:firstLine="640" w:firstLineChars="200"/>
        <w:rPr>
          <w:rFonts w:hint="eastAsia" w:ascii="楷体" w:hAnsi="楷体" w:eastAsia="楷体" w:cs="楷体"/>
          <w:bCs/>
          <w:color w:val="000000"/>
          <w:sz w:val="32"/>
          <w:szCs w:val="32"/>
          <w:lang w:val="en-US" w:eastAsia="zh-CN"/>
        </w:rPr>
      </w:pPr>
    </w:p>
    <w:p>
      <w:pPr>
        <w:widowControl/>
        <w:spacing w:line="594" w:lineRule="exact"/>
        <w:ind w:firstLine="640" w:firstLineChars="200"/>
        <w:rPr>
          <w:rFonts w:hint="eastAsia" w:ascii="楷体" w:hAnsi="楷体" w:eastAsia="楷体" w:cs="楷体"/>
          <w:bCs/>
          <w:color w:val="000000"/>
          <w:sz w:val="32"/>
          <w:szCs w:val="32"/>
          <w:lang w:val="en-US" w:eastAsia="zh-CN"/>
        </w:rPr>
      </w:pPr>
    </w:p>
    <w:bookmarkEnd w:id="52"/>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kern w:val="0"/>
          <w:sz w:val="32"/>
          <w:szCs w:val="32"/>
          <w:lang w:val="en-US" w:eastAsia="zh-CN"/>
        </w:rPr>
      </w:pPr>
      <w:bookmarkStart w:id="54" w:name="_Toc22619838"/>
      <w:r>
        <w:rPr>
          <w:rFonts w:hint="eastAsia" w:ascii="黑体" w:hAnsi="黑体" w:eastAsia="黑体" w:cs="黑体"/>
          <w:b w:val="0"/>
          <w:bCs w:val="0"/>
          <w:sz w:val="32"/>
          <w:szCs w:val="32"/>
          <w:lang w:val="en-US" w:eastAsia="zh-CN"/>
        </w:rPr>
        <w:t>第三章 标准化试点精选案例</w:t>
      </w:r>
      <w:bookmarkEnd w:id="54"/>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黑体" w:hAnsi="黑体" w:eastAsia="黑体" w:cs="方正小标宋简体"/>
          <w:sz w:val="32"/>
          <w:szCs w:val="32"/>
        </w:rPr>
      </w:pPr>
      <w:r>
        <w:rPr>
          <w:rFonts w:hint="eastAsia" w:ascii="黑体" w:hAnsi="黑体" w:eastAsia="黑体" w:cs="方正小标宋简体"/>
          <w:sz w:val="32"/>
          <w:szCs w:val="32"/>
        </w:rPr>
        <w:t>案例1黄山市国家级服务业标准化试点建设</w:t>
      </w:r>
      <w:bookmarkStart w:id="55" w:name="_Toc325039139"/>
    </w:p>
    <w:p>
      <w:pPr>
        <w:adjustRightInd w:val="0"/>
        <w:spacing w:line="360" w:lineRule="auto"/>
        <w:ind w:firstLine="640" w:firstLineChars="200"/>
        <w:rPr>
          <w:rFonts w:ascii="黑体" w:hAnsi="黑体" w:eastAsia="黑体"/>
          <w:bCs/>
          <w:kern w:val="44"/>
          <w:sz w:val="44"/>
          <w:szCs w:val="36"/>
        </w:rPr>
      </w:pPr>
      <w:r>
        <w:rPr>
          <w:rFonts w:hint="eastAsia" w:ascii="黑体" w:hAnsi="黑体" w:eastAsia="黑体"/>
          <w:bCs/>
          <w:sz w:val="32"/>
        </w:rPr>
        <w:t>一、建设背景</w:t>
      </w:r>
      <w:bookmarkEnd w:id="55"/>
    </w:p>
    <w:p>
      <w:pPr>
        <w:spacing w:line="360" w:lineRule="auto"/>
        <w:ind w:firstLine="640" w:firstLineChars="200"/>
        <w:rPr>
          <w:rFonts w:ascii="仿宋" w:hAnsi="仿宋" w:eastAsia="仿宋"/>
          <w:sz w:val="32"/>
        </w:rPr>
      </w:pPr>
      <w:r>
        <w:rPr>
          <w:rFonts w:hint="eastAsia" w:ascii="仿宋" w:hAnsi="仿宋" w:eastAsia="仿宋"/>
          <w:sz w:val="32"/>
        </w:rPr>
        <w:t>黄山市旅游资源得天独厚，山水风光独秀；徽文化底蕴深厚，人文景观称绝，对境内外游客具有极强的吸引力。以世界文化与自然遗产黄山风景区为龙头的南北向自然风光旅游带和世界文化遗产西递、宏村为中心的东西文化旅游带，构成了自然景观和</w:t>
      </w:r>
      <w:r>
        <w:rPr>
          <w:rFonts w:hint="eastAsia" w:ascii="仿宋" w:hAnsi="仿宋" w:eastAsia="仿宋"/>
          <w:sz w:val="32"/>
          <w:szCs w:val="32"/>
        </w:rPr>
        <w:t>人文景</w:t>
      </w:r>
      <w:r>
        <w:rPr>
          <w:rFonts w:hint="eastAsia" w:ascii="仿宋" w:hAnsi="仿宋" w:eastAsia="仿宋"/>
          <w:sz w:val="32"/>
        </w:rPr>
        <w:t>观有机结合的黄山旅游大格局。在党中央、国务院和安徽省委、省政府以及各部门的大力支持下，以旅游为特色的服务业不断取得快速发展，产业规模迅速壮大，旅游业初步实现了系统化开发、规模化发展、科学化管理和集约化经营，旅游服务业已经成为的国民经济支柱产业。近年来，黄山市委、市政府坚持把实施旅游国际化战略作为推进旅游产业结构调整升级、加快旅游大市建设的重要内容和抓手，明确了“服务标准化，旅游国际化”的思路，强化标准化的支撑措施，全面提升旅游国际化水平。为加快实现以标准化示范作用推动旅游服务业规范、有序和健康发展的目标，推进旅游业与国际接轨，实现旅游业的可持续发展，申报建设了黄山市开展国家服务标准化试点城市。</w:t>
      </w:r>
      <w:bookmarkStart w:id="56" w:name="_Toc256099457"/>
      <w:bookmarkStart w:id="57" w:name="_Toc325039141"/>
    </w:p>
    <w:p>
      <w:pPr>
        <w:adjustRightInd w:val="0"/>
        <w:spacing w:line="360" w:lineRule="auto"/>
        <w:ind w:firstLine="640" w:firstLineChars="200"/>
        <w:rPr>
          <w:rFonts w:ascii="黑体" w:hAnsi="黑体" w:eastAsia="黑体"/>
          <w:bCs/>
          <w:sz w:val="32"/>
        </w:rPr>
      </w:pPr>
      <w:r>
        <w:rPr>
          <w:rFonts w:hint="eastAsia" w:ascii="黑体" w:hAnsi="黑体" w:eastAsia="黑体"/>
          <w:bCs/>
          <w:sz w:val="32"/>
        </w:rPr>
        <w:t>二、试点</w:t>
      </w:r>
      <w:bookmarkEnd w:id="56"/>
      <w:r>
        <w:rPr>
          <w:rFonts w:hint="eastAsia" w:ascii="黑体" w:hAnsi="黑体" w:eastAsia="黑体"/>
          <w:bCs/>
          <w:sz w:val="32"/>
        </w:rPr>
        <w:t>建设情况</w:t>
      </w:r>
      <w:bookmarkEnd w:id="57"/>
    </w:p>
    <w:p>
      <w:pPr>
        <w:spacing w:line="360" w:lineRule="auto"/>
        <w:ind w:firstLine="640" w:firstLineChars="200"/>
        <w:rPr>
          <w:rFonts w:ascii="楷体" w:hAnsi="楷体" w:eastAsia="楷体"/>
          <w:sz w:val="32"/>
        </w:rPr>
      </w:pPr>
      <w:r>
        <w:rPr>
          <w:rFonts w:hint="eastAsia" w:ascii="楷体" w:hAnsi="楷体" w:eastAsia="楷体"/>
          <w:sz w:val="32"/>
        </w:rPr>
        <w:t>（一）建立领导小组</w:t>
      </w:r>
    </w:p>
    <w:p>
      <w:pPr>
        <w:spacing w:line="360" w:lineRule="auto"/>
        <w:ind w:firstLine="640" w:firstLineChars="200"/>
        <w:rPr>
          <w:rFonts w:ascii="仿宋" w:hAnsi="仿宋" w:eastAsia="仿宋"/>
          <w:sz w:val="32"/>
        </w:rPr>
      </w:pPr>
      <w:r>
        <w:rPr>
          <w:rFonts w:hint="eastAsia" w:ascii="仿宋" w:hAnsi="仿宋" w:eastAsia="仿宋"/>
          <w:sz w:val="32"/>
        </w:rPr>
        <w:t>为进一步加强对旅游服务标准化工作领导，加快推进旅游国际化建设，成立了旅游服务标准化工作领导小组，其组成人员有：</w:t>
      </w:r>
    </w:p>
    <w:p>
      <w:pPr>
        <w:spacing w:line="360" w:lineRule="auto"/>
        <w:ind w:firstLine="640" w:firstLineChars="200"/>
        <w:rPr>
          <w:rFonts w:ascii="仿宋" w:hAnsi="仿宋" w:eastAsia="仿宋"/>
          <w:sz w:val="32"/>
        </w:rPr>
      </w:pPr>
      <w:r>
        <w:rPr>
          <w:rFonts w:hint="eastAsia" w:ascii="仿宋" w:hAnsi="仿宋" w:eastAsia="仿宋"/>
          <w:sz w:val="32"/>
        </w:rPr>
        <w:t>组  长：市委副书记、市政府市长</w:t>
      </w:r>
    </w:p>
    <w:p>
      <w:pPr>
        <w:spacing w:line="360" w:lineRule="auto"/>
        <w:ind w:firstLine="640" w:firstLineChars="200"/>
        <w:rPr>
          <w:rFonts w:ascii="仿宋" w:hAnsi="仿宋" w:eastAsia="仿宋"/>
          <w:sz w:val="32"/>
        </w:rPr>
      </w:pPr>
      <w:r>
        <w:rPr>
          <w:rFonts w:hint="eastAsia" w:ascii="仿宋" w:hAnsi="仿宋" w:eastAsia="仿宋"/>
          <w:sz w:val="32"/>
        </w:rPr>
        <w:t>副组长：市政府副市长</w:t>
      </w:r>
    </w:p>
    <w:p>
      <w:pPr>
        <w:spacing w:line="360" w:lineRule="auto"/>
        <w:ind w:firstLine="640" w:firstLineChars="200"/>
        <w:rPr>
          <w:rFonts w:ascii="仿宋" w:hAnsi="仿宋" w:eastAsia="仿宋"/>
          <w:sz w:val="32"/>
        </w:rPr>
      </w:pPr>
      <w:r>
        <w:rPr>
          <w:rFonts w:hint="eastAsia" w:ascii="仿宋" w:hAnsi="仿宋" w:eastAsia="仿宋"/>
          <w:sz w:val="32"/>
        </w:rPr>
        <w:t>成  员：黄山风景区管委会副主任、黄山发展股份有限公司总裁</w:t>
      </w:r>
      <w:r>
        <w:rPr>
          <w:rFonts w:hint="eastAsia" w:ascii="仿宋" w:hAnsi="仿宋" w:eastAsia="仿宋"/>
          <w:sz w:val="32"/>
          <w:lang w:eastAsia="zh-CN"/>
        </w:rPr>
        <w:t>，</w:t>
      </w:r>
      <w:r>
        <w:rPr>
          <w:rFonts w:hint="eastAsia" w:ascii="仿宋" w:hAnsi="仿宋" w:eastAsia="仿宋"/>
          <w:sz w:val="32"/>
        </w:rPr>
        <w:t>市政府副秘书长</w:t>
      </w:r>
      <w:r>
        <w:rPr>
          <w:rFonts w:hint="eastAsia" w:ascii="仿宋" w:hAnsi="仿宋" w:eastAsia="仿宋"/>
          <w:sz w:val="32"/>
          <w:lang w:eastAsia="zh-CN"/>
        </w:rPr>
        <w:t>，</w:t>
      </w:r>
      <w:r>
        <w:rPr>
          <w:rFonts w:hint="eastAsia" w:ascii="仿宋" w:hAnsi="仿宋" w:eastAsia="仿宋"/>
          <w:sz w:val="32"/>
        </w:rPr>
        <w:t>市委宣传部副部长</w:t>
      </w:r>
      <w:r>
        <w:rPr>
          <w:rFonts w:hint="eastAsia" w:ascii="仿宋" w:hAnsi="仿宋" w:eastAsia="仿宋"/>
          <w:sz w:val="32"/>
          <w:lang w:eastAsia="zh-CN"/>
        </w:rPr>
        <w:t>，</w:t>
      </w:r>
      <w:r>
        <w:rPr>
          <w:rFonts w:hint="eastAsia" w:ascii="仿宋" w:hAnsi="仿宋" w:eastAsia="仿宋"/>
          <w:sz w:val="32"/>
        </w:rPr>
        <w:t>市发改委主任</w:t>
      </w:r>
      <w:r>
        <w:rPr>
          <w:rFonts w:hint="eastAsia" w:ascii="仿宋" w:hAnsi="仿宋" w:eastAsia="仿宋"/>
          <w:sz w:val="32"/>
          <w:lang w:eastAsia="zh-CN"/>
        </w:rPr>
        <w:t>，</w:t>
      </w:r>
      <w:r>
        <w:rPr>
          <w:rFonts w:hint="eastAsia" w:ascii="仿宋" w:hAnsi="仿宋" w:eastAsia="仿宋"/>
          <w:sz w:val="32"/>
        </w:rPr>
        <w:t>市财政局局长</w:t>
      </w:r>
      <w:r>
        <w:rPr>
          <w:rFonts w:hint="eastAsia" w:ascii="仿宋" w:hAnsi="仿宋" w:eastAsia="仿宋"/>
          <w:sz w:val="32"/>
          <w:lang w:eastAsia="zh-CN"/>
        </w:rPr>
        <w:t>，</w:t>
      </w:r>
      <w:r>
        <w:rPr>
          <w:rFonts w:hint="eastAsia" w:ascii="仿宋" w:hAnsi="仿宋" w:eastAsia="仿宋"/>
          <w:sz w:val="32"/>
        </w:rPr>
        <w:t>市市场监管局局长</w:t>
      </w:r>
      <w:r>
        <w:rPr>
          <w:rFonts w:hint="eastAsia" w:ascii="仿宋" w:hAnsi="仿宋" w:eastAsia="仿宋"/>
          <w:sz w:val="32"/>
          <w:lang w:eastAsia="zh-CN"/>
        </w:rPr>
        <w:t>，</w:t>
      </w:r>
      <w:r>
        <w:rPr>
          <w:rFonts w:hint="eastAsia" w:ascii="仿宋" w:hAnsi="仿宋" w:eastAsia="仿宋"/>
          <w:sz w:val="32"/>
        </w:rPr>
        <w:t>市旅委常务副主任</w:t>
      </w:r>
      <w:r>
        <w:rPr>
          <w:rFonts w:hint="eastAsia" w:ascii="仿宋" w:hAnsi="仿宋" w:eastAsia="仿宋"/>
          <w:sz w:val="32"/>
          <w:lang w:eastAsia="zh-CN"/>
        </w:rPr>
        <w:t>，</w:t>
      </w:r>
      <w:r>
        <w:rPr>
          <w:rFonts w:hint="eastAsia" w:ascii="仿宋" w:hAnsi="仿宋" w:eastAsia="仿宋"/>
          <w:sz w:val="32"/>
        </w:rPr>
        <w:t>黄山风景区管委会副主任</w:t>
      </w:r>
      <w:r>
        <w:rPr>
          <w:rFonts w:hint="eastAsia" w:ascii="仿宋" w:hAnsi="仿宋" w:eastAsia="仿宋"/>
          <w:sz w:val="32"/>
          <w:lang w:eastAsia="zh-CN"/>
        </w:rPr>
        <w:t>，</w:t>
      </w:r>
      <w:r>
        <w:rPr>
          <w:rFonts w:hint="eastAsia" w:ascii="仿宋" w:hAnsi="仿宋" w:eastAsia="仿宋"/>
          <w:sz w:val="32"/>
        </w:rPr>
        <w:t>市商务局局长</w:t>
      </w:r>
      <w:r>
        <w:rPr>
          <w:rFonts w:hint="eastAsia" w:ascii="仿宋" w:hAnsi="仿宋" w:eastAsia="仿宋"/>
          <w:sz w:val="32"/>
          <w:lang w:eastAsia="zh-CN"/>
        </w:rPr>
        <w:t>，</w:t>
      </w:r>
      <w:r>
        <w:rPr>
          <w:rFonts w:hint="eastAsia" w:ascii="仿宋" w:hAnsi="仿宋" w:eastAsia="仿宋"/>
          <w:sz w:val="32"/>
        </w:rPr>
        <w:t>市建委主任</w:t>
      </w:r>
      <w:r>
        <w:rPr>
          <w:rFonts w:hint="eastAsia" w:ascii="仿宋" w:hAnsi="仿宋" w:eastAsia="仿宋"/>
          <w:sz w:val="32"/>
          <w:lang w:eastAsia="zh-CN"/>
        </w:rPr>
        <w:t>，</w:t>
      </w:r>
      <w:r>
        <w:rPr>
          <w:rFonts w:hint="eastAsia" w:ascii="仿宋" w:hAnsi="仿宋" w:eastAsia="仿宋"/>
          <w:sz w:val="32"/>
        </w:rPr>
        <w:t>市农委主任</w:t>
      </w:r>
      <w:r>
        <w:rPr>
          <w:rFonts w:hint="eastAsia" w:ascii="仿宋" w:hAnsi="仿宋" w:eastAsia="仿宋"/>
          <w:sz w:val="32"/>
          <w:lang w:eastAsia="zh-CN"/>
        </w:rPr>
        <w:t>，</w:t>
      </w:r>
      <w:r>
        <w:rPr>
          <w:rFonts w:hint="eastAsia" w:ascii="仿宋" w:hAnsi="仿宋" w:eastAsia="仿宋"/>
          <w:sz w:val="32"/>
        </w:rPr>
        <w:t>市交通局局长</w:t>
      </w:r>
      <w:r>
        <w:rPr>
          <w:rFonts w:hint="eastAsia" w:ascii="仿宋" w:hAnsi="仿宋" w:eastAsia="仿宋"/>
          <w:sz w:val="32"/>
          <w:lang w:eastAsia="zh-CN"/>
        </w:rPr>
        <w:t>，</w:t>
      </w:r>
      <w:r>
        <w:rPr>
          <w:rFonts w:hint="eastAsia" w:ascii="仿宋" w:hAnsi="仿宋" w:eastAsia="仿宋"/>
          <w:sz w:val="32"/>
        </w:rPr>
        <w:t>市文化局局长</w:t>
      </w:r>
      <w:r>
        <w:rPr>
          <w:rFonts w:hint="eastAsia" w:ascii="仿宋" w:hAnsi="仿宋" w:eastAsia="仿宋"/>
          <w:sz w:val="32"/>
          <w:lang w:eastAsia="zh-CN"/>
        </w:rPr>
        <w:t>，</w:t>
      </w:r>
      <w:r>
        <w:rPr>
          <w:rFonts w:hint="eastAsia" w:ascii="仿宋" w:hAnsi="仿宋" w:eastAsia="仿宋"/>
          <w:sz w:val="32"/>
        </w:rPr>
        <w:t>市广电局局长</w:t>
      </w:r>
      <w:r>
        <w:rPr>
          <w:rFonts w:hint="eastAsia" w:ascii="仿宋" w:hAnsi="仿宋" w:eastAsia="仿宋"/>
          <w:sz w:val="32"/>
          <w:lang w:eastAsia="zh-CN"/>
        </w:rPr>
        <w:t>，</w:t>
      </w:r>
      <w:r>
        <w:rPr>
          <w:rFonts w:hint="eastAsia" w:ascii="仿宋" w:hAnsi="仿宋" w:eastAsia="仿宋"/>
          <w:sz w:val="32"/>
        </w:rPr>
        <w:t>市卫生局局长</w:t>
      </w:r>
      <w:r>
        <w:rPr>
          <w:rFonts w:hint="eastAsia" w:ascii="仿宋" w:hAnsi="仿宋" w:eastAsia="仿宋"/>
          <w:sz w:val="32"/>
          <w:lang w:eastAsia="zh-CN"/>
        </w:rPr>
        <w:t>，</w:t>
      </w:r>
      <w:r>
        <w:rPr>
          <w:rFonts w:hint="eastAsia" w:ascii="仿宋" w:hAnsi="仿宋" w:eastAsia="仿宋"/>
          <w:sz w:val="32"/>
        </w:rPr>
        <w:t>市民政局局长</w:t>
      </w:r>
      <w:r>
        <w:rPr>
          <w:rFonts w:hint="eastAsia" w:ascii="仿宋" w:hAnsi="仿宋" w:eastAsia="仿宋"/>
          <w:sz w:val="32"/>
          <w:lang w:eastAsia="zh-CN"/>
        </w:rPr>
        <w:t>，</w:t>
      </w:r>
      <w:r>
        <w:rPr>
          <w:rFonts w:hint="eastAsia" w:ascii="仿宋" w:hAnsi="仿宋" w:eastAsia="仿宋"/>
          <w:sz w:val="32"/>
        </w:rPr>
        <w:t>市环保局局长</w:t>
      </w:r>
      <w:r>
        <w:rPr>
          <w:rFonts w:hint="eastAsia" w:ascii="仿宋" w:hAnsi="仿宋" w:eastAsia="仿宋"/>
          <w:sz w:val="32"/>
          <w:lang w:eastAsia="zh-CN"/>
        </w:rPr>
        <w:t>，</w:t>
      </w:r>
      <w:r>
        <w:rPr>
          <w:rFonts w:hint="eastAsia" w:ascii="仿宋" w:hAnsi="仿宋" w:eastAsia="仿宋"/>
          <w:sz w:val="32"/>
        </w:rPr>
        <w:t>市城管局局长</w:t>
      </w:r>
    </w:p>
    <w:p>
      <w:pPr>
        <w:spacing w:line="360" w:lineRule="auto"/>
        <w:ind w:firstLine="640" w:firstLineChars="200"/>
        <w:rPr>
          <w:rFonts w:ascii="仿宋" w:hAnsi="仿宋" w:eastAsia="仿宋"/>
          <w:sz w:val="32"/>
        </w:rPr>
      </w:pPr>
      <w:r>
        <w:rPr>
          <w:rFonts w:hint="eastAsia" w:ascii="仿宋" w:hAnsi="仿宋" w:eastAsia="仿宋"/>
          <w:sz w:val="32"/>
        </w:rPr>
        <w:t>领导小组办公室设在市质量技术监督局。由xxx同志兼任办公室主任。市旅委xxx、市商务局xxx、市市场监管局xxx、黄山旅游股份公司xxx任副主任。</w:t>
      </w:r>
    </w:p>
    <w:p>
      <w:pPr>
        <w:spacing w:line="360" w:lineRule="auto"/>
        <w:ind w:firstLine="640" w:firstLineChars="200"/>
        <w:rPr>
          <w:rFonts w:ascii="楷体" w:hAnsi="楷体" w:eastAsia="楷体"/>
          <w:sz w:val="32"/>
        </w:rPr>
      </w:pPr>
      <w:r>
        <w:rPr>
          <w:rFonts w:hint="eastAsia" w:ascii="楷体" w:hAnsi="楷体" w:eastAsia="楷体"/>
          <w:sz w:val="32"/>
        </w:rPr>
        <w:t>（二）制定实施方案</w:t>
      </w:r>
    </w:p>
    <w:p>
      <w:pPr>
        <w:spacing w:line="360" w:lineRule="auto"/>
        <w:ind w:firstLine="640" w:firstLineChars="200"/>
        <w:rPr>
          <w:rFonts w:ascii="仿宋" w:hAnsi="仿宋" w:eastAsia="仿宋"/>
          <w:sz w:val="32"/>
        </w:rPr>
      </w:pPr>
      <w:r>
        <w:rPr>
          <w:rFonts w:hint="eastAsia" w:ascii="仿宋" w:hAnsi="仿宋" w:eastAsia="仿宋"/>
          <w:sz w:val="32"/>
        </w:rPr>
        <w:t>黄山</w:t>
      </w:r>
      <w:r>
        <w:rPr>
          <w:rFonts w:ascii="仿宋" w:hAnsi="仿宋" w:eastAsia="仿宋"/>
          <w:sz w:val="32"/>
        </w:rPr>
        <w:t>市政府第七十次常务会议研究</w:t>
      </w:r>
      <w:r>
        <w:rPr>
          <w:rFonts w:hint="eastAsia" w:ascii="仿宋" w:hAnsi="仿宋" w:eastAsia="仿宋"/>
          <w:sz w:val="32"/>
        </w:rPr>
        <w:t>并</w:t>
      </w:r>
      <w:r>
        <w:rPr>
          <w:rFonts w:ascii="仿宋" w:hAnsi="仿宋" w:eastAsia="仿宋"/>
          <w:sz w:val="32"/>
        </w:rPr>
        <w:t>通过</w:t>
      </w:r>
      <w:r>
        <w:rPr>
          <w:rFonts w:hint="eastAsia" w:ascii="仿宋" w:hAnsi="仿宋" w:eastAsia="仿宋"/>
          <w:sz w:val="32"/>
        </w:rPr>
        <w:t>了《</w:t>
      </w:r>
      <w:r>
        <w:rPr>
          <w:rFonts w:ascii="仿宋" w:hAnsi="仿宋" w:eastAsia="仿宋"/>
          <w:sz w:val="32"/>
        </w:rPr>
        <w:t>黄山市旅游服务标准化工作三年实施方案</w:t>
      </w:r>
      <w:r>
        <w:rPr>
          <w:rFonts w:hint="eastAsia" w:ascii="仿宋" w:hAnsi="仿宋" w:eastAsia="仿宋"/>
          <w:sz w:val="32"/>
        </w:rPr>
        <w:t>》。</w:t>
      </w:r>
    </w:p>
    <w:p>
      <w:pPr>
        <w:spacing w:line="360" w:lineRule="auto"/>
        <w:ind w:firstLine="640" w:firstLineChars="200"/>
        <w:rPr>
          <w:rFonts w:ascii="仿宋" w:hAnsi="仿宋" w:eastAsia="仿宋"/>
          <w:sz w:val="32"/>
        </w:rPr>
      </w:pPr>
      <w:r>
        <w:rPr>
          <w:rFonts w:ascii="仿宋" w:hAnsi="仿宋" w:eastAsia="仿宋"/>
          <w:sz w:val="32"/>
        </w:rPr>
        <w:t>随着旅游业的迅速发展，旅游标准化日渐成为规范行业行为、加强行业管理、提高经营服务水平的重要手段。为提高黄山市旅游服务质量，实现旅游国际化，特制定本实施方案。</w:t>
      </w:r>
    </w:p>
    <w:p>
      <w:pPr>
        <w:spacing w:line="360" w:lineRule="auto"/>
        <w:ind w:firstLine="643" w:firstLineChars="200"/>
        <w:rPr>
          <w:rFonts w:ascii="仿宋" w:hAnsi="仿宋" w:eastAsia="仿宋"/>
          <w:b/>
          <w:bCs/>
          <w:sz w:val="32"/>
        </w:rPr>
      </w:pPr>
      <w:bookmarkStart w:id="58" w:name="1"/>
      <w:r>
        <w:rPr>
          <w:rFonts w:hint="eastAsia" w:ascii="仿宋" w:hAnsi="仿宋" w:eastAsia="仿宋"/>
          <w:b/>
          <w:bCs/>
          <w:sz w:val="32"/>
        </w:rPr>
        <w:t>1</w:t>
      </w:r>
      <w:bookmarkEnd w:id="58"/>
      <w:r>
        <w:rPr>
          <w:rFonts w:hint="eastAsia" w:ascii="仿宋" w:hAnsi="仿宋" w:eastAsia="仿宋"/>
          <w:b/>
          <w:bCs/>
          <w:sz w:val="32"/>
          <w:lang w:eastAsia="zh-CN"/>
        </w:rPr>
        <w:t>.</w:t>
      </w:r>
      <w:r>
        <w:rPr>
          <w:rFonts w:ascii="仿宋" w:hAnsi="仿宋" w:eastAsia="仿宋"/>
          <w:b/>
          <w:bCs/>
          <w:sz w:val="32"/>
        </w:rPr>
        <w:t>指导思想</w:t>
      </w:r>
    </w:p>
    <w:p>
      <w:pPr>
        <w:spacing w:line="360" w:lineRule="auto"/>
        <w:ind w:firstLine="640" w:firstLineChars="200"/>
        <w:rPr>
          <w:rFonts w:ascii="仿宋" w:hAnsi="仿宋" w:eastAsia="仿宋"/>
          <w:sz w:val="32"/>
        </w:rPr>
      </w:pPr>
      <w:r>
        <w:rPr>
          <w:rFonts w:ascii="仿宋" w:hAnsi="仿宋" w:eastAsia="仿宋"/>
          <w:sz w:val="32"/>
        </w:rPr>
        <w:t>深入</w:t>
      </w:r>
      <w:r>
        <w:rPr>
          <w:rFonts w:hint="eastAsia" w:ascii="仿宋" w:hAnsi="仿宋" w:eastAsia="仿宋"/>
          <w:sz w:val="32"/>
          <w:lang w:eastAsia="zh-CN"/>
        </w:rPr>
        <w:t>贯彻新发展理念</w:t>
      </w:r>
      <w:r>
        <w:rPr>
          <w:rFonts w:ascii="仿宋" w:hAnsi="仿宋" w:eastAsia="仿宋"/>
          <w:sz w:val="32"/>
        </w:rPr>
        <w:t>，以市场为导向、以诚信为目标、以提升旅游服务业整体水平和综合竞争力为重点，围绕黄山旅游业的结构优化和产业发展，建立健全黄山旅游标准体系，加大旅游服务业标准制定、推广、实施和监督力度，推进旅游业与国际接轨，为旅游业的发展和构建和谐社会提供技术支撑。</w:t>
      </w:r>
    </w:p>
    <w:p>
      <w:pPr>
        <w:spacing w:line="360" w:lineRule="auto"/>
        <w:ind w:firstLine="643" w:firstLineChars="200"/>
        <w:rPr>
          <w:rFonts w:ascii="仿宋" w:hAnsi="仿宋" w:eastAsia="仿宋"/>
          <w:b/>
          <w:bCs/>
          <w:sz w:val="32"/>
        </w:rPr>
      </w:pPr>
      <w:bookmarkStart w:id="59" w:name="2"/>
      <w:r>
        <w:rPr>
          <w:rFonts w:hint="eastAsia" w:ascii="仿宋" w:hAnsi="仿宋" w:eastAsia="仿宋"/>
          <w:b/>
          <w:bCs/>
          <w:sz w:val="32"/>
        </w:rPr>
        <w:t>2</w:t>
      </w:r>
      <w:bookmarkEnd w:id="59"/>
      <w:r>
        <w:rPr>
          <w:rFonts w:hint="eastAsia" w:ascii="仿宋" w:hAnsi="仿宋" w:eastAsia="仿宋"/>
          <w:b/>
          <w:bCs/>
          <w:sz w:val="32"/>
          <w:lang w:eastAsia="zh-CN"/>
        </w:rPr>
        <w:t>.</w:t>
      </w:r>
      <w:r>
        <w:rPr>
          <w:rFonts w:ascii="仿宋" w:hAnsi="仿宋" w:eastAsia="仿宋"/>
          <w:b/>
          <w:bCs/>
          <w:sz w:val="32"/>
        </w:rPr>
        <w:t>目标任务</w:t>
      </w:r>
    </w:p>
    <w:p>
      <w:pPr>
        <w:spacing w:line="360" w:lineRule="auto"/>
        <w:ind w:firstLine="640" w:firstLineChars="200"/>
        <w:rPr>
          <w:rFonts w:ascii="仿宋" w:hAnsi="仿宋" w:eastAsia="仿宋"/>
          <w:sz w:val="32"/>
        </w:rPr>
      </w:pPr>
      <w:r>
        <w:rPr>
          <w:rFonts w:ascii="仿宋" w:hAnsi="仿宋" w:eastAsia="仿宋"/>
          <w:sz w:val="32"/>
        </w:rPr>
        <w:t>在贯彻执行已有的国家标准、行业标准和地方标准的基础上，结合</w:t>
      </w:r>
      <w:r>
        <w:rPr>
          <w:rFonts w:hint="eastAsia" w:ascii="仿宋" w:hAnsi="仿宋" w:eastAsia="仿宋"/>
          <w:sz w:val="32"/>
        </w:rPr>
        <w:t>全市</w:t>
      </w:r>
      <w:r>
        <w:rPr>
          <w:rFonts w:ascii="仿宋" w:hAnsi="仿宋" w:eastAsia="仿宋"/>
          <w:sz w:val="32"/>
        </w:rPr>
        <w:t>旅游服务业特点，逐步建立“结构合理、层次分明、重点突出”的旅游服务标准体系，并在全市景区、旅游服务业全面推广实施。通过全面开展标准化工作，推动旅游业向集约型、品牌化、效益型方向发展，提升旅游企业在管理、信誉、品牌、服务、理念等方面的“软实力”，为游客提供国际化的优质服务。</w:t>
      </w:r>
      <w:bookmarkStart w:id="60" w:name="3"/>
    </w:p>
    <w:p>
      <w:pPr>
        <w:spacing w:line="360" w:lineRule="auto"/>
        <w:ind w:firstLine="643" w:firstLineChars="200"/>
        <w:rPr>
          <w:rFonts w:ascii="仿宋" w:hAnsi="仿宋" w:eastAsia="仿宋"/>
          <w:b/>
          <w:bCs/>
          <w:sz w:val="32"/>
        </w:rPr>
      </w:pPr>
      <w:r>
        <w:rPr>
          <w:rFonts w:hint="eastAsia" w:ascii="仿宋" w:hAnsi="仿宋" w:eastAsia="仿宋"/>
          <w:b/>
          <w:bCs/>
          <w:sz w:val="32"/>
        </w:rPr>
        <w:t>3</w:t>
      </w:r>
      <w:bookmarkEnd w:id="60"/>
      <w:r>
        <w:rPr>
          <w:rFonts w:hint="eastAsia" w:ascii="仿宋" w:hAnsi="仿宋" w:eastAsia="仿宋"/>
          <w:b/>
          <w:bCs/>
          <w:sz w:val="32"/>
          <w:lang w:eastAsia="zh-CN"/>
        </w:rPr>
        <w:t>.</w:t>
      </w:r>
      <w:r>
        <w:rPr>
          <w:rFonts w:ascii="仿宋" w:hAnsi="仿宋" w:eastAsia="仿宋"/>
          <w:b/>
          <w:bCs/>
          <w:sz w:val="32"/>
        </w:rPr>
        <w:t>方法步骤</w:t>
      </w:r>
    </w:p>
    <w:p>
      <w:pPr>
        <w:spacing w:line="360" w:lineRule="auto"/>
        <w:ind w:firstLine="640" w:firstLineChars="200"/>
        <w:rPr>
          <w:rFonts w:ascii="仿宋" w:hAnsi="仿宋" w:eastAsia="仿宋"/>
          <w:sz w:val="32"/>
        </w:rPr>
      </w:pPr>
      <w:r>
        <w:rPr>
          <w:rFonts w:ascii="仿宋" w:hAnsi="仿宋" w:eastAsia="仿宋"/>
          <w:sz w:val="32"/>
        </w:rPr>
        <w:t>（一）准备阶段</w:t>
      </w:r>
    </w:p>
    <w:p>
      <w:pPr>
        <w:spacing w:line="360" w:lineRule="auto"/>
        <w:ind w:firstLine="640" w:firstLineChars="200"/>
        <w:rPr>
          <w:rFonts w:ascii="仿宋" w:hAnsi="仿宋" w:eastAsia="仿宋"/>
          <w:sz w:val="32"/>
        </w:rPr>
      </w:pPr>
      <w:r>
        <w:rPr>
          <w:rFonts w:ascii="仿宋" w:hAnsi="仿宋" w:eastAsia="仿宋"/>
          <w:sz w:val="32"/>
        </w:rPr>
        <w:t>1．向国家标准化管理委员会提出申请，争取国家标准化管理委员会的同意和批复，将</w:t>
      </w:r>
      <w:r>
        <w:rPr>
          <w:rFonts w:hint="eastAsia" w:ascii="仿宋" w:hAnsi="仿宋" w:eastAsia="仿宋"/>
          <w:sz w:val="32"/>
        </w:rPr>
        <w:t>黄山</w:t>
      </w:r>
      <w:r>
        <w:rPr>
          <w:rFonts w:ascii="仿宋" w:hAnsi="仿宋" w:eastAsia="仿宋"/>
          <w:sz w:val="32"/>
        </w:rPr>
        <w:t>列为全国首家“服务标准化试点城市”。</w:t>
      </w:r>
    </w:p>
    <w:p>
      <w:pPr>
        <w:spacing w:line="360" w:lineRule="auto"/>
        <w:ind w:firstLine="640" w:firstLineChars="200"/>
        <w:rPr>
          <w:rFonts w:ascii="仿宋" w:hAnsi="仿宋" w:eastAsia="仿宋"/>
          <w:sz w:val="32"/>
        </w:rPr>
      </w:pPr>
      <w:r>
        <w:rPr>
          <w:rFonts w:ascii="仿宋" w:hAnsi="仿宋" w:eastAsia="仿宋"/>
          <w:sz w:val="32"/>
        </w:rPr>
        <w:t>2．开展基础性调查研究。在全市范围旅游服务质量调查，全面了解旅游服务企业服务质量状况；收集、研究旅游服务标准化资料，完成大量的基础性工作；编制全市旅游服务标准化工作宣传材料。</w:t>
      </w:r>
    </w:p>
    <w:p>
      <w:pPr>
        <w:spacing w:line="360" w:lineRule="auto"/>
        <w:ind w:firstLine="640" w:firstLineChars="200"/>
        <w:rPr>
          <w:rFonts w:ascii="仿宋" w:hAnsi="仿宋" w:eastAsia="仿宋"/>
          <w:sz w:val="32"/>
        </w:rPr>
      </w:pPr>
      <w:r>
        <w:rPr>
          <w:rFonts w:ascii="仿宋" w:hAnsi="仿宋" w:eastAsia="仿宋"/>
          <w:sz w:val="32"/>
        </w:rPr>
        <w:t>3．发布《关于加快推进旅游服务标准化工作的意见》。</w:t>
      </w:r>
    </w:p>
    <w:p>
      <w:pPr>
        <w:spacing w:line="360" w:lineRule="auto"/>
        <w:ind w:firstLine="640" w:firstLineChars="200"/>
        <w:rPr>
          <w:rFonts w:ascii="仿宋" w:hAnsi="仿宋" w:eastAsia="仿宋"/>
          <w:sz w:val="32"/>
        </w:rPr>
      </w:pPr>
      <w:r>
        <w:rPr>
          <w:rFonts w:ascii="仿宋" w:hAnsi="仿宋" w:eastAsia="仿宋"/>
          <w:sz w:val="32"/>
        </w:rPr>
        <w:t>4．建立合作机制。做好与省</w:t>
      </w:r>
      <w:r>
        <w:rPr>
          <w:rFonts w:hint="eastAsia" w:ascii="仿宋" w:hAnsi="仿宋" w:eastAsia="仿宋"/>
          <w:sz w:val="32"/>
        </w:rPr>
        <w:t>市场监管</w:t>
      </w:r>
      <w:r>
        <w:rPr>
          <w:rFonts w:ascii="仿宋" w:hAnsi="仿宋" w:eastAsia="仿宋"/>
          <w:sz w:val="32"/>
        </w:rPr>
        <w:t>局《关于促进旅游服务标准化合作》备忘录签定的各项准备工作。</w:t>
      </w:r>
      <w:r>
        <w:rPr>
          <w:rFonts w:ascii="仿宋" w:hAnsi="仿宋" w:eastAsia="仿宋"/>
          <w:sz w:val="32"/>
        </w:rPr>
        <w:br w:type="textWrapping"/>
      </w:r>
      <w:r>
        <w:rPr>
          <w:rFonts w:hint="eastAsia" w:ascii="仿宋" w:hAnsi="仿宋" w:eastAsia="仿宋"/>
          <w:sz w:val="32"/>
        </w:rPr>
        <w:t xml:space="preserve">   </w:t>
      </w:r>
      <w:r>
        <w:rPr>
          <w:rFonts w:ascii="仿宋" w:hAnsi="仿宋" w:eastAsia="仿宋"/>
          <w:sz w:val="32"/>
        </w:rPr>
        <w:t>（二）试点阶段</w:t>
      </w:r>
      <w:r>
        <w:rPr>
          <w:rFonts w:ascii="仿宋" w:hAnsi="仿宋" w:eastAsia="仿宋"/>
          <w:sz w:val="32"/>
        </w:rPr>
        <w:br w:type="textWrapping"/>
      </w:r>
      <w:r>
        <w:rPr>
          <w:rFonts w:hint="eastAsia" w:ascii="仿宋" w:hAnsi="仿宋" w:eastAsia="仿宋"/>
          <w:sz w:val="32"/>
        </w:rPr>
        <w:t xml:space="preserve">    </w:t>
      </w:r>
      <w:r>
        <w:rPr>
          <w:rFonts w:ascii="仿宋" w:hAnsi="仿宋" w:eastAsia="仿宋"/>
          <w:sz w:val="32"/>
        </w:rPr>
        <w:t>1．宣传贯彻《关于加快推进旅游服务标准化工作的意见》。</w:t>
      </w:r>
      <w:r>
        <w:rPr>
          <w:rFonts w:ascii="仿宋" w:hAnsi="仿宋" w:eastAsia="仿宋"/>
          <w:sz w:val="32"/>
        </w:rPr>
        <w:br w:type="textWrapping"/>
      </w:r>
      <w:r>
        <w:rPr>
          <w:rFonts w:hint="eastAsia" w:ascii="仿宋" w:hAnsi="仿宋" w:eastAsia="仿宋"/>
          <w:sz w:val="32"/>
        </w:rPr>
        <w:t xml:space="preserve">    </w:t>
      </w:r>
      <w:r>
        <w:rPr>
          <w:rFonts w:ascii="仿宋" w:hAnsi="仿宋" w:eastAsia="仿宋"/>
          <w:sz w:val="32"/>
        </w:rPr>
        <w:t>2．加强组织领导。成立以市长为组长，市政府分管</w:t>
      </w:r>
      <w:r>
        <w:rPr>
          <w:rFonts w:hint="eastAsia" w:ascii="仿宋" w:hAnsi="仿宋" w:eastAsia="仿宋"/>
          <w:sz w:val="32"/>
        </w:rPr>
        <w:t>市场监管</w:t>
      </w:r>
      <w:r>
        <w:rPr>
          <w:rFonts w:ascii="仿宋" w:hAnsi="仿宋" w:eastAsia="仿宋"/>
          <w:sz w:val="32"/>
        </w:rPr>
        <w:t>和旅游的副市长为副组长，有关单位为成员的市旅游服务标准化工作领导小组。明确领导小组及办公室和各成员单位的工作职责。</w:t>
      </w:r>
    </w:p>
    <w:p>
      <w:pPr>
        <w:spacing w:line="360" w:lineRule="auto"/>
        <w:ind w:firstLine="640" w:firstLineChars="200"/>
        <w:rPr>
          <w:rFonts w:ascii="仿宋" w:hAnsi="仿宋" w:eastAsia="仿宋"/>
          <w:sz w:val="32"/>
        </w:rPr>
      </w:pPr>
      <w:r>
        <w:rPr>
          <w:rFonts w:ascii="仿宋" w:hAnsi="仿宋" w:eastAsia="仿宋"/>
          <w:sz w:val="32"/>
        </w:rPr>
        <w:t>3．制订符合黄山实际的地方标准。围绕“食、住、行、游、购、娱”旅游六要素，组织制订黄山市地方标准：《餐饮业服务质量规范》《家庭旅馆质量等级评定与划分》《非星级酒店服务质量规范》《出租汽车运营服务质量规范》《公共汽车运营服务质量规范》《客运索道运营服务规范》《旅游专业村》《旅游景区（点）服务质量规范》《旅游景区（点）导游词规范》《旅游购物点质量等级划分与评定》《娱乐场所服务规范》《美容美发服务质量规范》《沐浴业服务质量规范》和第二批10个《徽菜》系列标准等。</w:t>
      </w:r>
    </w:p>
    <w:p>
      <w:pPr>
        <w:spacing w:line="360" w:lineRule="auto"/>
        <w:ind w:firstLine="640" w:firstLineChars="200"/>
        <w:rPr>
          <w:rFonts w:ascii="仿宋" w:hAnsi="仿宋" w:eastAsia="仿宋"/>
          <w:sz w:val="32"/>
        </w:rPr>
      </w:pPr>
      <w:r>
        <w:rPr>
          <w:rFonts w:ascii="仿宋" w:hAnsi="仿宋" w:eastAsia="仿宋"/>
          <w:sz w:val="32"/>
        </w:rPr>
        <w:t>4．开展示范和试点活动。在全市选择10个景区（点）为“旅游服务标准化示范景区（点）”，50个单位为“旅游服务标准化试点单位”，帮助企业建立切实可行的标准体系、制订和实施旅游服务标准。</w:t>
      </w:r>
    </w:p>
    <w:p>
      <w:pPr>
        <w:spacing w:line="360" w:lineRule="auto"/>
        <w:ind w:firstLine="640" w:firstLineChars="200"/>
        <w:rPr>
          <w:rFonts w:ascii="仿宋" w:hAnsi="仿宋" w:eastAsia="仿宋"/>
          <w:sz w:val="32"/>
        </w:rPr>
      </w:pPr>
      <w:r>
        <w:rPr>
          <w:rFonts w:ascii="仿宋" w:hAnsi="仿宋" w:eastAsia="仿宋"/>
          <w:sz w:val="32"/>
        </w:rPr>
        <w:t>5．加强对已有标准的宣贯力度。引导和督促旅游服务企业及相关单位严格执行《旅行社国内旅游服务质量》《导游服务质量》《旅游饭店星级的划分与评定》《标志用公共信息图形符号》《旅游区（点）质量等级的划分与评定》《旅游汽车服务质量》等国家标准、行业标准和《农家乐（乡村酒店）旅游服务质量等级的划分与评定》、首批《徽菜》黄山市地方标准，鼓励景区（点）和企业实施ISO9000、ISO14000等体系认证。</w:t>
      </w:r>
    </w:p>
    <w:p>
      <w:pPr>
        <w:spacing w:line="360" w:lineRule="auto"/>
        <w:ind w:firstLine="640" w:firstLineChars="200"/>
        <w:rPr>
          <w:rFonts w:ascii="仿宋" w:hAnsi="仿宋" w:eastAsia="仿宋"/>
          <w:sz w:val="32"/>
        </w:rPr>
      </w:pPr>
      <w:r>
        <w:rPr>
          <w:rFonts w:ascii="仿宋" w:hAnsi="仿宋" w:eastAsia="仿宋"/>
          <w:sz w:val="32"/>
        </w:rPr>
        <w:t>6．加强宣传。在《黄山日报》安排专版，在电视台制作公益广告，在旅游交通广播开辟专栏；编印《黄山市旅游服务标准化宣传指南》；举办“旅游服务标准化黄山论坛”。</w:t>
      </w:r>
    </w:p>
    <w:p>
      <w:pPr>
        <w:spacing w:line="360" w:lineRule="auto"/>
        <w:ind w:firstLine="640" w:firstLineChars="200"/>
        <w:rPr>
          <w:rFonts w:ascii="仿宋" w:hAnsi="仿宋" w:eastAsia="仿宋"/>
          <w:sz w:val="32"/>
        </w:rPr>
      </w:pPr>
      <w:r>
        <w:rPr>
          <w:rFonts w:ascii="仿宋" w:hAnsi="仿宋" w:eastAsia="仿宋"/>
          <w:sz w:val="32"/>
        </w:rPr>
        <w:t>（三）全面推广阶段</w:t>
      </w:r>
    </w:p>
    <w:p>
      <w:pPr>
        <w:spacing w:line="360" w:lineRule="auto"/>
        <w:ind w:firstLine="640" w:firstLineChars="200"/>
        <w:rPr>
          <w:rFonts w:ascii="仿宋" w:hAnsi="仿宋" w:eastAsia="仿宋"/>
          <w:sz w:val="32"/>
        </w:rPr>
      </w:pPr>
      <w:r>
        <w:rPr>
          <w:rFonts w:ascii="仿宋" w:hAnsi="仿宋" w:eastAsia="仿宋"/>
          <w:sz w:val="32"/>
        </w:rPr>
        <w:t>1．开展旅游业服务质量评价工作。按照有关标准要求，开展对旅行社、星级饭店、旅游景区（点）质量评比工作，评定黄山市服务标准化旅行社、黄山市服务标准化星级饭店、黄山市服务标准化旅游景区（点）、黄山市服务标准化购物点、黄山市服务标准化出租车</w:t>
      </w:r>
      <w:r>
        <w:rPr>
          <w:rFonts w:hint="eastAsia" w:ascii="仿宋" w:hAnsi="仿宋" w:eastAsia="仿宋"/>
          <w:sz w:val="32"/>
        </w:rPr>
        <w:t>。</w:t>
      </w:r>
    </w:p>
    <w:p>
      <w:pPr>
        <w:spacing w:line="360" w:lineRule="auto"/>
        <w:ind w:firstLine="640" w:firstLineChars="200"/>
        <w:rPr>
          <w:rFonts w:ascii="仿宋" w:hAnsi="仿宋" w:eastAsia="仿宋"/>
          <w:sz w:val="32"/>
        </w:rPr>
      </w:pPr>
      <w:r>
        <w:rPr>
          <w:rFonts w:ascii="仿宋" w:hAnsi="仿宋" w:eastAsia="仿宋"/>
          <w:sz w:val="32"/>
        </w:rPr>
        <w:t>2．在总结试点成功经验的基础上，全面推广实施旅游服务标准，对贯彻实施国家标准、行业标准和地方标准的工作情况纳入旅游市场治理整顿工作中，进行监督检查，形成制度。</w:t>
      </w:r>
    </w:p>
    <w:p>
      <w:pPr>
        <w:spacing w:line="360" w:lineRule="auto"/>
        <w:ind w:firstLine="640" w:firstLineChars="200"/>
        <w:rPr>
          <w:rFonts w:ascii="楷体" w:hAnsi="楷体" w:eastAsia="楷体"/>
          <w:sz w:val="32"/>
        </w:rPr>
      </w:pPr>
      <w:r>
        <w:rPr>
          <w:rFonts w:hint="eastAsia" w:ascii="楷体" w:hAnsi="楷体" w:eastAsia="楷体"/>
          <w:sz w:val="32"/>
        </w:rPr>
        <w:t>（三）建立工作机制、落实责任情况</w:t>
      </w:r>
    </w:p>
    <w:p>
      <w:pPr>
        <w:spacing w:line="360" w:lineRule="auto"/>
        <w:ind w:firstLine="640" w:firstLineChars="200"/>
        <w:rPr>
          <w:rFonts w:ascii="仿宋" w:hAnsi="仿宋" w:eastAsia="仿宋"/>
          <w:sz w:val="32"/>
        </w:rPr>
      </w:pPr>
      <w:r>
        <w:rPr>
          <w:rFonts w:hint="eastAsia" w:ascii="仿宋" w:hAnsi="仿宋" w:eastAsia="仿宋"/>
          <w:sz w:val="32"/>
        </w:rPr>
        <w:t>为确保全市旅游服务标准化试点工作扎实开展，促进黄山市旅游业健康有序发展，明确了市旅游服务标准化领导小组、市旅游服务标准化领导小组办公室、市旅游服务标准化领导小组成员单位的主要职责，具体内容如下：</w:t>
      </w:r>
    </w:p>
    <w:p>
      <w:pPr>
        <w:spacing w:line="360" w:lineRule="auto"/>
        <w:ind w:firstLine="640" w:firstLineChars="200"/>
        <w:rPr>
          <w:rFonts w:ascii="仿宋" w:hAnsi="仿宋" w:eastAsia="仿宋"/>
          <w:sz w:val="32"/>
        </w:rPr>
      </w:pPr>
      <w:r>
        <w:rPr>
          <w:rFonts w:hint="eastAsia" w:ascii="仿宋" w:hAnsi="仿宋" w:eastAsia="仿宋"/>
          <w:sz w:val="32"/>
        </w:rPr>
        <w:t>市旅游服务标准化领导小组主要职责</w:t>
      </w:r>
    </w:p>
    <w:p>
      <w:pPr>
        <w:spacing w:line="360" w:lineRule="auto"/>
        <w:ind w:firstLine="640" w:firstLineChars="200"/>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贯彻落实党中央、国务院、省委、省政府、市委、市政府关于旅游服务标准化工作的方针政策，开展旅游服务标准化工作重大问题的调查研究；</w:t>
      </w:r>
    </w:p>
    <w:p>
      <w:pPr>
        <w:spacing w:line="360" w:lineRule="auto"/>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组建旅游服务标准化工作领导小组专家组，为全市旅游服务标准化发展战略、规划、法规、政策和标准的制定提供信息咨询、技术论证和智力支持；</w:t>
      </w:r>
    </w:p>
    <w:p>
      <w:pPr>
        <w:spacing w:line="360" w:lineRule="auto"/>
        <w:ind w:firstLine="640" w:firstLineChars="200"/>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组织协调旅游服务标准化保障体系的建立；</w:t>
      </w:r>
    </w:p>
    <w:p>
      <w:pPr>
        <w:spacing w:line="360" w:lineRule="auto"/>
        <w:ind w:firstLine="640" w:firstLineChars="200"/>
        <w:rPr>
          <w:rFonts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协调与审议涉及全局的重大旅游服务标准化项目；</w:t>
      </w:r>
    </w:p>
    <w:p>
      <w:pPr>
        <w:spacing w:line="360" w:lineRule="auto"/>
        <w:ind w:firstLine="640" w:firstLineChars="200"/>
        <w:rPr>
          <w:rFonts w:ascii="仿宋" w:hAnsi="仿宋" w:eastAsia="仿宋"/>
          <w:sz w:val="32"/>
        </w:rPr>
      </w:pPr>
      <w:r>
        <w:rPr>
          <w:rFonts w:hint="eastAsia" w:ascii="仿宋" w:hAnsi="仿宋" w:eastAsia="仿宋"/>
          <w:sz w:val="32"/>
        </w:rPr>
        <w:t>5</w:t>
      </w:r>
      <w:r>
        <w:rPr>
          <w:rFonts w:hint="eastAsia" w:ascii="仿宋" w:hAnsi="仿宋" w:eastAsia="仿宋"/>
          <w:sz w:val="32"/>
          <w:lang w:eastAsia="zh-CN"/>
        </w:rPr>
        <w:t>.</w:t>
      </w:r>
      <w:r>
        <w:rPr>
          <w:rFonts w:hint="eastAsia" w:ascii="仿宋" w:hAnsi="仿宋" w:eastAsia="仿宋"/>
          <w:sz w:val="32"/>
        </w:rPr>
        <w:t>协调重要旅游服务标准化资源的开发利用与共享；</w:t>
      </w:r>
    </w:p>
    <w:p>
      <w:pPr>
        <w:spacing w:line="360" w:lineRule="auto"/>
        <w:ind w:firstLine="640" w:firstLineChars="200"/>
        <w:rPr>
          <w:rFonts w:ascii="仿宋" w:hAnsi="仿宋" w:eastAsia="仿宋"/>
          <w:sz w:val="32"/>
        </w:rPr>
      </w:pPr>
      <w:r>
        <w:rPr>
          <w:rFonts w:hint="eastAsia" w:ascii="仿宋" w:hAnsi="仿宋" w:eastAsia="仿宋"/>
          <w:sz w:val="32"/>
        </w:rPr>
        <w:t>6</w:t>
      </w:r>
      <w:r>
        <w:rPr>
          <w:rFonts w:hint="eastAsia" w:ascii="仿宋" w:hAnsi="仿宋" w:eastAsia="仿宋"/>
          <w:sz w:val="32"/>
          <w:lang w:eastAsia="zh-CN"/>
        </w:rPr>
        <w:t>.</w:t>
      </w:r>
      <w:r>
        <w:rPr>
          <w:rFonts w:hint="eastAsia" w:ascii="仿宋" w:hAnsi="仿宋" w:eastAsia="仿宋"/>
          <w:sz w:val="32"/>
        </w:rPr>
        <w:t>协调旅游服务标准化规划和实施中存在的问题；</w:t>
      </w:r>
    </w:p>
    <w:p>
      <w:pPr>
        <w:spacing w:line="360" w:lineRule="auto"/>
        <w:ind w:firstLine="640" w:firstLineChars="200"/>
        <w:rPr>
          <w:rFonts w:ascii="仿宋" w:hAnsi="仿宋" w:eastAsia="仿宋"/>
          <w:sz w:val="32"/>
        </w:rPr>
      </w:pPr>
      <w:r>
        <w:rPr>
          <w:rFonts w:hint="eastAsia" w:ascii="仿宋" w:hAnsi="仿宋" w:eastAsia="仿宋"/>
          <w:sz w:val="32"/>
        </w:rPr>
        <w:t>7</w:t>
      </w:r>
      <w:r>
        <w:rPr>
          <w:rFonts w:hint="eastAsia" w:ascii="仿宋" w:hAnsi="仿宋" w:eastAsia="仿宋"/>
          <w:sz w:val="32"/>
          <w:lang w:eastAsia="zh-CN"/>
        </w:rPr>
        <w:t>.</w:t>
      </w:r>
      <w:r>
        <w:rPr>
          <w:rFonts w:hint="eastAsia" w:ascii="仿宋" w:hAnsi="仿宋" w:eastAsia="仿宋"/>
          <w:sz w:val="32"/>
        </w:rPr>
        <w:t>协调完善旅游服务标准化统计调查制度，推进旅游服务标准化的宣传普及与教育培训。</w:t>
      </w:r>
    </w:p>
    <w:p>
      <w:pPr>
        <w:spacing w:line="360" w:lineRule="auto"/>
        <w:ind w:firstLine="640" w:firstLineChars="200"/>
        <w:rPr>
          <w:rFonts w:ascii="仿宋" w:hAnsi="仿宋" w:eastAsia="仿宋"/>
          <w:sz w:val="32"/>
        </w:rPr>
      </w:pPr>
      <w:r>
        <w:rPr>
          <w:rFonts w:hint="eastAsia" w:ascii="仿宋" w:hAnsi="仿宋" w:eastAsia="仿宋"/>
          <w:sz w:val="32"/>
        </w:rPr>
        <w:t>市旅游服务标准化领导小组办公室主要职责</w:t>
      </w:r>
    </w:p>
    <w:p>
      <w:pPr>
        <w:spacing w:line="360" w:lineRule="auto"/>
        <w:ind w:firstLine="640" w:firstLineChars="200"/>
        <w:rPr>
          <w:rFonts w:ascii="仿宋" w:hAnsi="仿宋" w:eastAsia="仿宋"/>
          <w:sz w:val="32"/>
        </w:rPr>
      </w:pPr>
      <w:r>
        <w:rPr>
          <w:rFonts w:hint="eastAsia" w:ascii="仿宋" w:hAnsi="仿宋" w:eastAsia="仿宋"/>
          <w:sz w:val="32"/>
        </w:rPr>
        <w:t>市旅游服务标准化领导小组办公室是旅游服务标准化领导小组的日常办事机构，主要职责如下：</w:t>
      </w:r>
    </w:p>
    <w:p>
      <w:pPr>
        <w:spacing w:line="360" w:lineRule="auto"/>
        <w:ind w:firstLine="640" w:firstLineChars="200"/>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根据国家、省、市关于旅游服务标准化工作的方针政策，研究拟定全市旅游服务标准化规划和阶段实施方案并负责组织实施；</w:t>
      </w:r>
    </w:p>
    <w:p>
      <w:pPr>
        <w:spacing w:line="360" w:lineRule="auto"/>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研究起草全市旅游服务标准化工作政策性文件、法规，负责制定工作规范和技术标准；</w:t>
      </w:r>
    </w:p>
    <w:p>
      <w:pPr>
        <w:spacing w:line="360" w:lineRule="auto"/>
        <w:ind w:firstLine="640" w:firstLineChars="200"/>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组织、协调和指导全市旅游服务标准化推进和协调工作；</w:t>
      </w:r>
    </w:p>
    <w:p>
      <w:pPr>
        <w:spacing w:line="360" w:lineRule="auto"/>
        <w:ind w:firstLine="640" w:firstLineChars="200"/>
        <w:rPr>
          <w:rFonts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统筹规划、协同实施全市旅游服务标准化基础设施建设，参与协调和审议涉及全局的重大旅游服务标准化项目；</w:t>
      </w:r>
    </w:p>
    <w:p>
      <w:pPr>
        <w:spacing w:line="360" w:lineRule="auto"/>
        <w:ind w:firstLine="640" w:firstLineChars="200"/>
        <w:rPr>
          <w:rFonts w:ascii="仿宋" w:hAnsi="仿宋" w:eastAsia="仿宋"/>
          <w:sz w:val="32"/>
        </w:rPr>
      </w:pPr>
      <w:r>
        <w:rPr>
          <w:rFonts w:hint="eastAsia" w:ascii="仿宋" w:hAnsi="仿宋" w:eastAsia="仿宋"/>
          <w:sz w:val="32"/>
        </w:rPr>
        <w:t>5</w:t>
      </w:r>
      <w:r>
        <w:rPr>
          <w:rFonts w:hint="eastAsia" w:ascii="仿宋" w:hAnsi="仿宋" w:eastAsia="仿宋"/>
          <w:sz w:val="32"/>
          <w:lang w:eastAsia="zh-CN"/>
        </w:rPr>
        <w:t>.</w:t>
      </w:r>
      <w:r>
        <w:rPr>
          <w:rFonts w:hint="eastAsia" w:ascii="仿宋" w:hAnsi="仿宋" w:eastAsia="仿宋"/>
          <w:sz w:val="32"/>
        </w:rPr>
        <w:t>会同有关部门推进旅游服务标准化，协调、指导开展旅游服务标准化工作；</w:t>
      </w:r>
    </w:p>
    <w:p>
      <w:pPr>
        <w:spacing w:line="360" w:lineRule="auto"/>
        <w:ind w:firstLine="640" w:firstLineChars="200"/>
        <w:rPr>
          <w:rFonts w:ascii="仿宋" w:hAnsi="仿宋" w:eastAsia="仿宋"/>
          <w:sz w:val="32"/>
        </w:rPr>
      </w:pPr>
      <w:r>
        <w:rPr>
          <w:rFonts w:hint="eastAsia" w:ascii="仿宋" w:hAnsi="仿宋" w:eastAsia="仿宋"/>
          <w:sz w:val="32"/>
        </w:rPr>
        <w:t>6</w:t>
      </w:r>
      <w:r>
        <w:rPr>
          <w:rFonts w:hint="eastAsia" w:ascii="仿宋" w:hAnsi="仿宋" w:eastAsia="仿宋"/>
          <w:sz w:val="32"/>
          <w:lang w:eastAsia="zh-CN"/>
        </w:rPr>
        <w:t>.</w:t>
      </w:r>
      <w:r>
        <w:rPr>
          <w:rFonts w:hint="eastAsia" w:ascii="仿宋" w:hAnsi="仿宋" w:eastAsia="仿宋"/>
          <w:sz w:val="32"/>
        </w:rPr>
        <w:t>组织旅游服务标准化工作宣传报道，开展旅游服务标准化知识普及和教育培训工作；</w:t>
      </w:r>
    </w:p>
    <w:p>
      <w:pPr>
        <w:spacing w:line="360" w:lineRule="auto"/>
        <w:ind w:firstLine="640" w:firstLineChars="200"/>
        <w:rPr>
          <w:rFonts w:ascii="仿宋" w:hAnsi="仿宋" w:eastAsia="仿宋"/>
          <w:sz w:val="32"/>
        </w:rPr>
      </w:pPr>
      <w:r>
        <w:rPr>
          <w:rFonts w:hint="eastAsia" w:ascii="仿宋" w:hAnsi="仿宋" w:eastAsia="仿宋"/>
          <w:sz w:val="32"/>
        </w:rPr>
        <w:t>7</w:t>
      </w:r>
      <w:r>
        <w:rPr>
          <w:rFonts w:hint="eastAsia" w:ascii="仿宋" w:hAnsi="仿宋" w:eastAsia="仿宋"/>
          <w:sz w:val="32"/>
          <w:lang w:eastAsia="zh-CN"/>
        </w:rPr>
        <w:t>.</w:t>
      </w:r>
      <w:r>
        <w:rPr>
          <w:rFonts w:hint="eastAsia" w:ascii="仿宋" w:hAnsi="仿宋" w:eastAsia="仿宋"/>
          <w:sz w:val="32"/>
        </w:rPr>
        <w:t>组织、落实旅游服务标准化项目建设工作；</w:t>
      </w:r>
    </w:p>
    <w:p>
      <w:pPr>
        <w:spacing w:line="360" w:lineRule="auto"/>
        <w:ind w:firstLine="640" w:firstLineChars="200"/>
        <w:rPr>
          <w:rFonts w:ascii="仿宋" w:hAnsi="仿宋" w:eastAsia="仿宋"/>
          <w:sz w:val="32"/>
        </w:rPr>
      </w:pPr>
      <w:r>
        <w:rPr>
          <w:rFonts w:hint="eastAsia" w:ascii="仿宋" w:hAnsi="仿宋" w:eastAsia="仿宋"/>
          <w:sz w:val="32"/>
        </w:rPr>
        <w:t>8</w:t>
      </w:r>
      <w:r>
        <w:rPr>
          <w:rFonts w:hint="eastAsia" w:ascii="仿宋" w:hAnsi="仿宋" w:eastAsia="仿宋"/>
          <w:sz w:val="32"/>
          <w:lang w:eastAsia="zh-CN"/>
        </w:rPr>
        <w:t>.</w:t>
      </w:r>
      <w:r>
        <w:rPr>
          <w:rFonts w:hint="eastAsia" w:ascii="仿宋" w:hAnsi="仿宋" w:eastAsia="仿宋"/>
          <w:sz w:val="32"/>
        </w:rPr>
        <w:t>联系旅游服务标准化工作领导小组专家和省、国家旅游服务标准化办事机构，督促、协调、指导各地、各部门开展旅游服务标准化工作；</w:t>
      </w:r>
    </w:p>
    <w:p>
      <w:pPr>
        <w:spacing w:line="360" w:lineRule="auto"/>
        <w:ind w:firstLine="640" w:firstLineChars="200"/>
        <w:rPr>
          <w:rFonts w:ascii="仿宋" w:hAnsi="仿宋" w:eastAsia="仿宋"/>
          <w:sz w:val="32"/>
        </w:rPr>
      </w:pPr>
      <w:r>
        <w:rPr>
          <w:rFonts w:hint="eastAsia" w:ascii="仿宋" w:hAnsi="仿宋" w:eastAsia="仿宋"/>
          <w:sz w:val="32"/>
        </w:rPr>
        <w:t>9</w:t>
      </w:r>
      <w:r>
        <w:rPr>
          <w:rFonts w:hint="eastAsia" w:ascii="仿宋" w:hAnsi="仿宋" w:eastAsia="仿宋"/>
          <w:sz w:val="32"/>
          <w:lang w:eastAsia="zh-CN"/>
        </w:rPr>
        <w:t>.</w:t>
      </w:r>
      <w:r>
        <w:rPr>
          <w:rFonts w:hint="eastAsia" w:ascii="仿宋" w:hAnsi="仿宋" w:eastAsia="仿宋"/>
          <w:sz w:val="32"/>
        </w:rPr>
        <w:t>承办旅游服务标准化工作领导小组交办的其他事项。</w:t>
      </w:r>
    </w:p>
    <w:p>
      <w:pPr>
        <w:spacing w:line="360" w:lineRule="auto"/>
        <w:ind w:firstLine="640" w:firstLineChars="200"/>
        <w:rPr>
          <w:rFonts w:ascii="仿宋" w:hAnsi="仿宋" w:eastAsia="仿宋"/>
          <w:sz w:val="32"/>
        </w:rPr>
      </w:pPr>
    </w:p>
    <w:p>
      <w:pPr>
        <w:spacing w:line="360" w:lineRule="auto"/>
        <w:ind w:firstLine="640" w:firstLineChars="200"/>
        <w:rPr>
          <w:rFonts w:ascii="仿宋" w:hAnsi="仿宋" w:eastAsia="仿宋"/>
          <w:sz w:val="32"/>
        </w:rPr>
      </w:pPr>
    </w:p>
    <w:p>
      <w:pPr>
        <w:spacing w:line="360" w:lineRule="auto"/>
        <w:ind w:firstLine="640" w:firstLineChars="200"/>
        <w:rPr>
          <w:rFonts w:ascii="仿宋" w:hAnsi="仿宋" w:eastAsia="仿宋"/>
          <w:sz w:val="32"/>
        </w:rPr>
      </w:pPr>
    </w:p>
    <w:p>
      <w:pPr>
        <w:spacing w:line="360" w:lineRule="auto"/>
        <w:jc w:val="center"/>
        <w:rPr>
          <w:rFonts w:ascii="黑体" w:hAnsi="黑体" w:eastAsia="黑体"/>
          <w:sz w:val="32"/>
        </w:rPr>
      </w:pPr>
      <w:r>
        <w:rPr>
          <w:rFonts w:hint="eastAsia" w:ascii="黑体" w:hAnsi="黑体" w:eastAsia="黑体"/>
          <w:sz w:val="32"/>
        </w:rPr>
        <w:t>市旅游服务标准化领导小组成员单位主要职责</w:t>
      </w:r>
    </w:p>
    <w:p>
      <w:pPr>
        <w:spacing w:line="360" w:lineRule="auto"/>
        <w:ind w:firstLine="640" w:firstLineChars="200"/>
        <w:rPr>
          <w:rFonts w:ascii="仿宋" w:hAnsi="仿宋" w:eastAsia="仿宋"/>
          <w:sz w:val="32"/>
        </w:rPr>
      </w:pPr>
    </w:p>
    <w:tbl>
      <w:tblPr>
        <w:tblStyle w:val="15"/>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446"/>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02" w:type="dxa"/>
            <w:vAlign w:val="center"/>
          </w:tcPr>
          <w:p>
            <w:pPr>
              <w:pStyle w:val="13"/>
              <w:spacing w:before="0" w:beforeAutospacing="0" w:after="0" w:afterAutospacing="0" w:line="440" w:lineRule="exact"/>
              <w:jc w:val="center"/>
              <w:rPr>
                <w:rFonts w:ascii="仿宋" w:hAnsi="仿宋" w:eastAsia="仿宋" w:cs="Arial"/>
                <w:b/>
                <w:bCs/>
                <w:color w:val="000000"/>
                <w:sz w:val="28"/>
                <w:szCs w:val="28"/>
              </w:rPr>
            </w:pPr>
            <w:r>
              <w:rPr>
                <w:rFonts w:hint="eastAsia" w:ascii="仿宋" w:hAnsi="仿宋" w:eastAsia="仿宋" w:cs="Arial"/>
                <w:b/>
                <w:bCs/>
                <w:color w:val="000000"/>
                <w:sz w:val="28"/>
                <w:szCs w:val="28"/>
              </w:rPr>
              <w:t>序号</w:t>
            </w:r>
          </w:p>
        </w:tc>
        <w:tc>
          <w:tcPr>
            <w:tcW w:w="1446" w:type="dxa"/>
            <w:vAlign w:val="center"/>
          </w:tcPr>
          <w:p>
            <w:pPr>
              <w:pStyle w:val="13"/>
              <w:spacing w:before="0" w:beforeAutospacing="0" w:after="0" w:afterAutospacing="0" w:line="440" w:lineRule="exact"/>
              <w:jc w:val="center"/>
              <w:rPr>
                <w:rFonts w:ascii="仿宋" w:hAnsi="仿宋" w:eastAsia="仿宋" w:cs="Arial"/>
                <w:b/>
                <w:bCs/>
                <w:color w:val="000000"/>
                <w:sz w:val="28"/>
                <w:szCs w:val="28"/>
              </w:rPr>
            </w:pPr>
            <w:r>
              <w:rPr>
                <w:rFonts w:hint="eastAsia" w:ascii="仿宋" w:hAnsi="仿宋" w:eastAsia="仿宋" w:cs="Arial"/>
                <w:b/>
                <w:bCs/>
                <w:color w:val="000000"/>
                <w:sz w:val="28"/>
                <w:szCs w:val="28"/>
              </w:rPr>
              <w:t>部门</w:t>
            </w:r>
          </w:p>
        </w:tc>
        <w:tc>
          <w:tcPr>
            <w:tcW w:w="6679" w:type="dxa"/>
            <w:vAlign w:val="center"/>
          </w:tcPr>
          <w:p>
            <w:pPr>
              <w:pStyle w:val="13"/>
              <w:spacing w:before="0" w:beforeAutospacing="0" w:after="0" w:afterAutospacing="0" w:line="440" w:lineRule="exact"/>
              <w:jc w:val="center"/>
              <w:rPr>
                <w:rFonts w:ascii="仿宋" w:hAnsi="仿宋" w:eastAsia="仿宋" w:cs="Arial"/>
                <w:b/>
                <w:bCs/>
                <w:color w:val="000000"/>
                <w:sz w:val="28"/>
                <w:szCs w:val="28"/>
              </w:rPr>
            </w:pPr>
            <w:r>
              <w:rPr>
                <w:rFonts w:hint="eastAsia" w:ascii="仿宋" w:hAnsi="仿宋" w:eastAsia="仿宋" w:cs="Arial"/>
                <w:b/>
                <w:bCs/>
                <w:color w:val="000000"/>
                <w:sz w:val="28"/>
                <w:szCs w:val="2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领导小组</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办公室</w:t>
            </w:r>
          </w:p>
        </w:tc>
        <w:tc>
          <w:tcPr>
            <w:tcW w:w="6679" w:type="dxa"/>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1、负责全市服务标准化的统筹规划工作，做好综合协调；</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2、检查、督促各部门工作，及时汇总、通报工作进展；</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3、负责实施方案检查综合考评。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黄山管委会</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组织实施黄山风景区旅游服务标准化建设活动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市委宣传部</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组织旅游服务标准化宣传工作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4</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发改委</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1、协调重大旅游服务标准化项目；</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2、参与制订服务质量地方标准。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5</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财政局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1、协调重大旅游服务标准化项目；</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2、为旅游服务标准化工作提供经费保障。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6</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旅委</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1、对全市旅游服务企业的服务质量进行监督管理；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2、根据需要制订旅游服务标准；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3、全面推行旅游服务国家、行业和地方标准；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4、树立品牌意识，努力推进质量认证工作；</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5、制定培训计划，对旅游从业人员进行旅游标准化培训。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7</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市场监管局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1、制定黄山市旅游服务标准体系表，根据旅游服务业的发展需要协调各部门逐步制订覆盖各行业的旅游服务地方标准；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2、指导企业制定个性化的旅游服务标准；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3、开展标准宣贯培训工作，并推广实施各服务领域；</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4、实施名牌战略，指导培育旅游精品项目；</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5、协助各部门做好对国家标准、行业标准和地方标准宣贯实施情况的监督检查；</w:t>
            </w:r>
          </w:p>
          <w:p>
            <w:pPr>
              <w:pStyle w:val="13"/>
              <w:spacing w:before="0" w:beforeAutospacing="0" w:after="0" w:afterAutospacing="0" w:line="360" w:lineRule="auto"/>
              <w:rPr>
                <w:rFonts w:hint="eastAsia" w:ascii="仿宋" w:hAnsi="仿宋" w:eastAsia="仿宋" w:cs="Arial"/>
                <w:color w:val="000000"/>
              </w:rPr>
            </w:pPr>
            <w:r>
              <w:rPr>
                <w:rFonts w:hint="eastAsia" w:ascii="仿宋" w:hAnsi="仿宋" w:eastAsia="仿宋" w:cs="Arial"/>
                <w:color w:val="000000"/>
              </w:rPr>
              <w:t>6、推行全面质量管理，抓好ISO9001、ISO14001认证咨询及监督。</w:t>
            </w:r>
          </w:p>
          <w:p>
            <w:pPr>
              <w:pStyle w:val="13"/>
              <w:spacing w:before="0" w:beforeAutospacing="0" w:after="0" w:afterAutospacing="0" w:line="360" w:lineRule="auto"/>
              <w:rPr>
                <w:rFonts w:hint="eastAsia" w:ascii="仿宋" w:hAnsi="仿宋" w:eastAsia="仿宋"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8</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商务局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1、组织编制饮食业服务质量规范、徽菜系列标准、美容美发、商贸等服务标准；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2、组织商贸企业贯彻实施有关国家、行业和地方标准；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3、加强对大型商场、窗口单位贯标情况和图形标志、导向标志的监督检查。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9</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建委</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1、组织制定公交车服务标准并贯彻实施；</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2、参与制定相关服务质量地方标准。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10</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农委</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1、参与制定实施农家乐乡村旅游服务标准等地方标准；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2、参与制定实施旅游专业村地方标准。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11</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交通局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1、组织制订出租车运营服务规范地方标准并贯彻实施；</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2、加强对交通服务企业和从业人员贯彻执行国家、行业、地方标准的监督检查；</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3、按照国家、行业标准要求充实和完善道路指示牌和旅游标识系统。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12</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文化局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1、组织制订黄山文化游、娱乐方面标准并贯彻实施；</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2、参与制定相关服务质量地方标准。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13</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广电局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开展旅游服务标准化宣传工作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14</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卫生局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1、组织旅游服务企业卫生标准的贯彻实施；</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2、参与制订相关旅游服务质量地方标准；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3、指导服务企业制订服务流程卫生规范；</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4、组织食品卫生工作人员及管理人员的标准化业务培训。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15</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民政局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1、按照国家标准对地名标牌设置进行监督检查；</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2、参与制订相关旅游服务质量地方标准。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16</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环保局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1、参与制定景区和娱乐场所服务质量地方标准；</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2、贯彻实施国家环境保护标准。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02"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17</w:t>
            </w:r>
          </w:p>
        </w:tc>
        <w:tc>
          <w:tcPr>
            <w:tcW w:w="1446"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城市管理局</w:t>
            </w:r>
          </w:p>
        </w:tc>
        <w:tc>
          <w:tcPr>
            <w:tcW w:w="6679" w:type="dxa"/>
            <w:vAlign w:val="center"/>
          </w:tcPr>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1、按照《标志用公共信息图形符号》国家标准的要求，加强对城市旅游道路公共场所、窗口单位图形信息标志、导向标志的监督检查；</w:t>
            </w:r>
          </w:p>
          <w:p>
            <w:pPr>
              <w:pStyle w:val="13"/>
              <w:spacing w:before="0" w:beforeAutospacing="0" w:after="0" w:afterAutospacing="0" w:line="360" w:lineRule="auto"/>
              <w:rPr>
                <w:rFonts w:ascii="仿宋" w:hAnsi="仿宋" w:eastAsia="仿宋" w:cs="Arial"/>
                <w:color w:val="000000"/>
              </w:rPr>
            </w:pPr>
            <w:r>
              <w:rPr>
                <w:rFonts w:hint="eastAsia" w:ascii="仿宋" w:hAnsi="仿宋" w:eastAsia="仿宋" w:cs="Arial"/>
                <w:color w:val="000000"/>
              </w:rPr>
              <w:t>2、参与制定相关服务质量地方标准。</w:t>
            </w:r>
          </w:p>
        </w:tc>
      </w:tr>
    </w:tbl>
    <w:p>
      <w:pPr>
        <w:spacing w:line="360" w:lineRule="auto"/>
        <w:ind w:firstLine="640" w:firstLineChars="200"/>
        <w:rPr>
          <w:rFonts w:ascii="黑体" w:hAnsi="黑体" w:eastAsia="黑体"/>
          <w:bCs/>
          <w:sz w:val="32"/>
        </w:rPr>
      </w:pPr>
      <w:bookmarkStart w:id="61" w:name="_Toc256099458"/>
      <w:bookmarkStart w:id="62" w:name="_Toc325039142"/>
      <w:r>
        <w:rPr>
          <w:rFonts w:hint="eastAsia" w:ascii="黑体" w:hAnsi="黑体" w:eastAsia="黑体"/>
          <w:bCs/>
          <w:sz w:val="32"/>
        </w:rPr>
        <w:t>三、标准</w:t>
      </w:r>
      <w:bookmarkEnd w:id="61"/>
      <w:bookmarkStart w:id="63" w:name="_Toc256099459"/>
      <w:r>
        <w:rPr>
          <w:rFonts w:hint="eastAsia" w:ascii="黑体" w:hAnsi="黑体" w:eastAsia="黑体"/>
          <w:bCs/>
          <w:sz w:val="32"/>
        </w:rPr>
        <w:t>体系建立情况</w:t>
      </w:r>
      <w:bookmarkEnd w:id="62"/>
    </w:p>
    <w:p>
      <w:pPr>
        <w:ind w:firstLine="470" w:firstLineChars="147"/>
        <w:rPr>
          <w:rFonts w:ascii="楷体" w:hAnsi="楷体" w:eastAsia="楷体"/>
          <w:sz w:val="32"/>
        </w:rPr>
      </w:pPr>
      <w:r>
        <w:rPr>
          <w:rFonts w:hint="eastAsia" w:ascii="楷体" w:hAnsi="楷体" w:eastAsia="楷体"/>
          <w:sz w:val="32"/>
        </w:rPr>
        <w:t>（一）体系策划及构建思路</w:t>
      </w:r>
    </w:p>
    <w:p>
      <w:pPr>
        <w:spacing w:line="360" w:lineRule="auto"/>
        <w:ind w:firstLine="640" w:firstLineChars="200"/>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领导重视。黄山市委市政府主要领导多次听取了汇报，市政府常务会议就国家级服务业标准化试点项目工作进行了专题研究。成立黄山市旅游服务标准化工作领导小组。各区县政府和黄山管委会也相应成立机构，市旅游服务标准化领导小组办公室还与各区县领导组签订了项目建设责任书，明确项目建设的主要任务、时间进度和责任人，市、县和企业三级标准化组织网络基本形成。市委书记在听取市服务标准化工作专题汇报后，专门题词：“加强服务标准化工作，加快现代国际旅游城市建设”。省市场监管局非常重视黄山服务标准化试点建设项目，要求省、市市场监管部门全力推进黄山服务标准化工作。</w:t>
      </w:r>
    </w:p>
    <w:p>
      <w:pPr>
        <w:spacing w:line="360" w:lineRule="auto"/>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创新机制。建立了联席会议制度，研究解决在工作中遇到的新情况、新问题，协调解决工作难点，形成了分工负责和</w:t>
      </w:r>
      <w:r>
        <w:rPr>
          <w:rFonts w:ascii="仿宋" w:hAnsi="仿宋" w:eastAsia="仿宋"/>
          <w:sz w:val="32"/>
        </w:rPr>
        <w:t>密切配合</w:t>
      </w:r>
      <w:r>
        <w:rPr>
          <w:rFonts w:hint="eastAsia" w:ascii="仿宋" w:hAnsi="仿宋" w:eastAsia="仿宋"/>
          <w:sz w:val="32"/>
        </w:rPr>
        <w:t>的工作机制</w:t>
      </w:r>
      <w:r>
        <w:rPr>
          <w:rFonts w:ascii="仿宋" w:hAnsi="仿宋" w:eastAsia="仿宋"/>
          <w:sz w:val="32"/>
        </w:rPr>
        <w:t>。</w:t>
      </w:r>
      <w:r>
        <w:rPr>
          <w:rFonts w:hint="eastAsia" w:ascii="仿宋" w:hAnsi="仿宋" w:eastAsia="仿宋"/>
          <w:sz w:val="32"/>
        </w:rPr>
        <w:t>市市场监管局、旅委和商务局连续三年将创建活动列入年度重点工作。</w:t>
      </w:r>
      <w:r>
        <w:rPr>
          <w:rFonts w:ascii="仿宋" w:hAnsi="仿宋" w:eastAsia="仿宋"/>
          <w:sz w:val="32"/>
        </w:rPr>
        <w:t>市政府</w:t>
      </w:r>
      <w:r>
        <w:rPr>
          <w:rFonts w:hint="eastAsia" w:ascii="仿宋" w:hAnsi="仿宋" w:eastAsia="仿宋"/>
          <w:sz w:val="32"/>
        </w:rPr>
        <w:t>与</w:t>
      </w:r>
      <w:r>
        <w:rPr>
          <w:rFonts w:ascii="仿宋" w:hAnsi="仿宋" w:eastAsia="仿宋"/>
          <w:sz w:val="32"/>
        </w:rPr>
        <w:t>省</w:t>
      </w:r>
      <w:r>
        <w:rPr>
          <w:rFonts w:hint="eastAsia" w:ascii="仿宋" w:hAnsi="仿宋" w:eastAsia="仿宋"/>
          <w:sz w:val="32"/>
        </w:rPr>
        <w:t>市场监管</w:t>
      </w:r>
      <w:r>
        <w:rPr>
          <w:rFonts w:ascii="仿宋" w:hAnsi="仿宋" w:eastAsia="仿宋"/>
          <w:sz w:val="32"/>
        </w:rPr>
        <w:t>局</w:t>
      </w:r>
      <w:r>
        <w:rPr>
          <w:rFonts w:hint="eastAsia" w:ascii="仿宋" w:hAnsi="仿宋" w:eastAsia="仿宋"/>
          <w:sz w:val="32"/>
        </w:rPr>
        <w:t>签订了“</w:t>
      </w:r>
      <w:r>
        <w:rPr>
          <w:rFonts w:ascii="仿宋" w:hAnsi="仿宋" w:eastAsia="仿宋"/>
          <w:sz w:val="32"/>
        </w:rPr>
        <w:t>加强服务标准化，推进旅游国际化，合作促进黄山市旅游业又好又快发展</w:t>
      </w:r>
      <w:r>
        <w:rPr>
          <w:rFonts w:hint="eastAsia" w:ascii="仿宋" w:hAnsi="仿宋" w:eastAsia="仿宋"/>
          <w:sz w:val="32"/>
        </w:rPr>
        <w:t>”</w:t>
      </w:r>
      <w:r>
        <w:rPr>
          <w:rFonts w:ascii="仿宋" w:hAnsi="仿宋" w:eastAsia="仿宋"/>
          <w:sz w:val="32"/>
        </w:rPr>
        <w:t>备忘录，</w:t>
      </w:r>
      <w:r>
        <w:rPr>
          <w:rFonts w:hint="eastAsia" w:ascii="仿宋" w:hAnsi="仿宋" w:eastAsia="仿宋"/>
          <w:sz w:val="32"/>
        </w:rPr>
        <w:t>创新</w:t>
      </w:r>
      <w:r>
        <w:rPr>
          <w:rFonts w:ascii="仿宋" w:hAnsi="仿宋" w:eastAsia="仿宋"/>
          <w:sz w:val="32"/>
        </w:rPr>
        <w:t>合作机制</w:t>
      </w:r>
      <w:r>
        <w:rPr>
          <w:rFonts w:hint="eastAsia" w:ascii="仿宋" w:hAnsi="仿宋" w:eastAsia="仿宋"/>
          <w:sz w:val="32"/>
        </w:rPr>
        <w:t>。</w:t>
      </w:r>
    </w:p>
    <w:p>
      <w:pPr>
        <w:spacing w:line="360" w:lineRule="auto"/>
        <w:ind w:firstLine="640" w:firstLineChars="200"/>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整合资源。在项目建设过程中，注重五个结合：</w:t>
      </w:r>
      <w:r>
        <w:rPr>
          <w:rFonts w:hint="eastAsia" w:ascii="宋体" w:hAnsi="宋体"/>
          <w:sz w:val="24"/>
        </w:rPr>
        <w:t xml:space="preserve"> </w:t>
      </w:r>
      <w:r>
        <w:rPr>
          <w:rFonts w:hint="eastAsia" w:ascii="仿宋" w:hAnsi="仿宋" w:eastAsia="仿宋"/>
          <w:sz w:val="32"/>
        </w:rPr>
        <w:t>一是与环境保护和旅游资源永续利用工作相结合。</w:t>
      </w:r>
      <w:r>
        <w:rPr>
          <w:rFonts w:ascii="仿宋" w:hAnsi="仿宋" w:eastAsia="仿宋"/>
          <w:sz w:val="32"/>
        </w:rPr>
        <w:t>保护</w:t>
      </w:r>
      <w:r>
        <w:rPr>
          <w:rFonts w:hint="eastAsia" w:ascii="仿宋" w:hAnsi="仿宋" w:eastAsia="仿宋"/>
          <w:sz w:val="32"/>
        </w:rPr>
        <w:t>旅游</w:t>
      </w:r>
      <w:r>
        <w:rPr>
          <w:rFonts w:ascii="仿宋" w:hAnsi="仿宋" w:eastAsia="仿宋"/>
          <w:sz w:val="32"/>
        </w:rPr>
        <w:t>资源，做好农业、林业与旅游的有机结合，实现</w:t>
      </w:r>
      <w:r>
        <w:rPr>
          <w:rFonts w:hint="eastAsia" w:ascii="仿宋" w:hAnsi="仿宋" w:eastAsia="仿宋"/>
          <w:sz w:val="32"/>
        </w:rPr>
        <w:t>旅游</w:t>
      </w:r>
      <w:r>
        <w:rPr>
          <w:rFonts w:ascii="仿宋" w:hAnsi="仿宋" w:eastAsia="仿宋"/>
          <w:sz w:val="32"/>
        </w:rPr>
        <w:t>资源的合理开发和</w:t>
      </w:r>
      <w:r>
        <w:rPr>
          <w:rFonts w:hint="eastAsia" w:ascii="仿宋" w:hAnsi="仿宋" w:eastAsia="仿宋"/>
          <w:sz w:val="32"/>
        </w:rPr>
        <w:t>永续</w:t>
      </w:r>
      <w:r>
        <w:rPr>
          <w:rFonts w:ascii="仿宋" w:hAnsi="仿宋" w:eastAsia="仿宋"/>
          <w:sz w:val="32"/>
        </w:rPr>
        <w:t>利用</w:t>
      </w:r>
      <w:r>
        <w:rPr>
          <w:rFonts w:hint="eastAsia" w:ascii="仿宋" w:hAnsi="仿宋" w:eastAsia="仿宋"/>
          <w:sz w:val="32"/>
        </w:rPr>
        <w:t>。风景名胜区游步道建设等省级地方标准为保证旅游资源的可持续开发提供了依据。二是与新农村建设工作相结合。把标准化的先进理念锲入社会主义新农村建设中去，制定乡村旅游发展规划，合理开发，并不断深入挖掘旅游文化内涵，</w:t>
      </w:r>
      <w:r>
        <w:rPr>
          <w:rFonts w:ascii="仿宋" w:hAnsi="仿宋" w:eastAsia="仿宋"/>
          <w:sz w:val="32"/>
        </w:rPr>
        <w:t>不断地推出新奇独特的旅游产品，</w:t>
      </w:r>
      <w:r>
        <w:rPr>
          <w:rFonts w:hint="eastAsia" w:ascii="仿宋" w:hAnsi="仿宋" w:eastAsia="仿宋"/>
          <w:sz w:val="32"/>
        </w:rPr>
        <w:t>创造特色“乡村游”品牌</w:t>
      </w:r>
      <w:r>
        <w:rPr>
          <w:rFonts w:ascii="仿宋" w:hAnsi="仿宋" w:eastAsia="仿宋"/>
          <w:sz w:val="32"/>
        </w:rPr>
        <w:t>。</w:t>
      </w:r>
      <w:r>
        <w:rPr>
          <w:rFonts w:hint="eastAsia" w:ascii="仿宋" w:hAnsi="仿宋" w:eastAsia="仿宋"/>
          <w:sz w:val="32"/>
        </w:rPr>
        <w:t>三是与创建标准化良好行为企业工作相结合。以 “标准化良好行为企业”的内涵为核心，组织起草《服务业组织标准体系评价细则》地方标准，引导试点单位创建标准化良好行为企业。四是与品牌建设工作相结合</w:t>
      </w:r>
      <w:bookmarkStart w:id="64" w:name="_Toc148777517"/>
      <w:r>
        <w:rPr>
          <w:rFonts w:hint="eastAsia" w:ascii="仿宋" w:hAnsi="仿宋" w:eastAsia="仿宋"/>
          <w:sz w:val="32"/>
        </w:rPr>
        <w:t>。把资源优势变作产业和经济优势，提高服务产品的知名度，使旅游服务业成为全市经济发展新的增长点。市政府制定和完善服务类知名品牌的评定标准和工作规范，出台奖励政策和措施，</w:t>
      </w:r>
      <w:bookmarkEnd w:id="64"/>
      <w:r>
        <w:rPr>
          <w:rFonts w:hint="eastAsia" w:ascii="仿宋" w:hAnsi="仿宋" w:eastAsia="仿宋"/>
          <w:sz w:val="32"/>
        </w:rPr>
        <w:t>将重点旅游服务行业作为服务业品牌培育的重点。将服务业企业纳入黄山市知名品牌评选范围，引导服务企业树立品牌意识，</w:t>
      </w:r>
      <w:r>
        <w:rPr>
          <w:rFonts w:ascii="仿宋" w:hAnsi="仿宋" w:eastAsia="仿宋"/>
          <w:sz w:val="32"/>
        </w:rPr>
        <w:t>打造</w:t>
      </w:r>
      <w:r>
        <w:rPr>
          <w:rFonts w:hint="eastAsia" w:ascii="仿宋" w:hAnsi="仿宋" w:eastAsia="仿宋"/>
          <w:sz w:val="32"/>
        </w:rPr>
        <w:t>服务</w:t>
      </w:r>
      <w:r>
        <w:rPr>
          <w:rFonts w:ascii="仿宋" w:hAnsi="仿宋" w:eastAsia="仿宋"/>
          <w:sz w:val="32"/>
        </w:rPr>
        <w:t>品牌。</w:t>
      </w:r>
      <w:r>
        <w:rPr>
          <w:rFonts w:hint="eastAsia" w:ascii="仿宋" w:hAnsi="仿宋" w:eastAsia="仿宋"/>
          <w:sz w:val="32"/>
        </w:rPr>
        <w:t>五是与推行技术标准战略，打造旅游强市工作相结合。强调要以建设“现代国际旅游城市”的目标，以支柱特色产业和现代服务业为突破口，建立符合市场经济发展需要的标准体系，加快实施技术标准战略，增强企业核心竞争力，努力提高标准总体水平和全社会的标准化意识，促进经济持续发展。</w:t>
      </w:r>
    </w:p>
    <w:p>
      <w:pPr>
        <w:spacing w:line="360" w:lineRule="auto"/>
        <w:ind w:firstLine="640" w:firstLineChars="200"/>
        <w:rPr>
          <w:rFonts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 xml:space="preserve">注重实效。一是认真研究建立了以服务通用标准体系、服务保障标准体系和服务提供标准体系三个子体系为基础的企业服务标准体系，促进企业形成一套完整、协调的管理体系和运行机制。二是建立内容科学合理、控制严密的服务质量控制系统，制定工作规范和工作程序，使服务行为有章可循，并以文字和图表的形式确定下来，形成服务程序。三是建立质量信息反馈系统，实行质检报告制度，将质检情况进行列表分析，分析原因，提出和实施改进措施。四是标准化专兼职标准化工作人员能力提升，掌握了标准体系自评方法。 </w:t>
      </w:r>
    </w:p>
    <w:p>
      <w:pPr>
        <w:spacing w:line="360" w:lineRule="auto"/>
        <w:ind w:firstLine="640" w:firstLineChars="200"/>
        <w:rPr>
          <w:rFonts w:ascii="仿宋" w:hAnsi="仿宋" w:eastAsia="仿宋"/>
          <w:sz w:val="32"/>
        </w:rPr>
      </w:pPr>
      <w:r>
        <w:rPr>
          <w:rFonts w:hint="eastAsia" w:ascii="仿宋" w:hAnsi="仿宋" w:eastAsia="仿宋"/>
          <w:sz w:val="32"/>
        </w:rPr>
        <w:t>5</w:t>
      </w:r>
      <w:r>
        <w:rPr>
          <w:rFonts w:hint="eastAsia" w:ascii="仿宋" w:hAnsi="仿宋" w:eastAsia="仿宋"/>
          <w:sz w:val="32"/>
          <w:lang w:eastAsia="zh-CN"/>
        </w:rPr>
        <w:t>.</w:t>
      </w:r>
      <w:r>
        <w:rPr>
          <w:rFonts w:hint="eastAsia" w:ascii="仿宋" w:hAnsi="仿宋" w:eastAsia="仿宋"/>
          <w:sz w:val="32"/>
        </w:rPr>
        <w:t>广泛宣传。创办了“创建国家服务标准化示范城市”宣传网页。编制宣传画册、口号。有许多企业还专门设置宣传栏。</w:t>
      </w:r>
      <w:r>
        <w:rPr>
          <w:rFonts w:ascii="仿宋" w:hAnsi="仿宋" w:eastAsia="仿宋"/>
          <w:sz w:val="32"/>
        </w:rPr>
        <w:t>增强全社会的</w:t>
      </w:r>
      <w:r>
        <w:rPr>
          <w:rFonts w:hint="eastAsia" w:ascii="仿宋" w:hAnsi="仿宋" w:eastAsia="仿宋"/>
          <w:sz w:val="32"/>
        </w:rPr>
        <w:t>服务</w:t>
      </w:r>
      <w:r>
        <w:rPr>
          <w:rFonts w:ascii="仿宋" w:hAnsi="仿宋" w:eastAsia="仿宋"/>
          <w:sz w:val="32"/>
        </w:rPr>
        <w:t>标准</w:t>
      </w:r>
      <w:r>
        <w:rPr>
          <w:rFonts w:hint="eastAsia" w:ascii="仿宋" w:hAnsi="仿宋" w:eastAsia="仿宋"/>
          <w:sz w:val="32"/>
        </w:rPr>
        <w:t>化</w:t>
      </w:r>
      <w:r>
        <w:rPr>
          <w:rFonts w:ascii="仿宋" w:hAnsi="仿宋" w:eastAsia="仿宋"/>
          <w:sz w:val="32"/>
        </w:rPr>
        <w:t>理念，促进黄山旅游国际化的进程</w:t>
      </w:r>
      <w:r>
        <w:rPr>
          <w:rFonts w:hint="eastAsia" w:ascii="仿宋" w:hAnsi="仿宋" w:eastAsia="仿宋"/>
          <w:sz w:val="32"/>
        </w:rPr>
        <w:t>起到了很好的成效</w:t>
      </w:r>
      <w:r>
        <w:rPr>
          <w:rFonts w:ascii="仿宋" w:hAnsi="仿宋" w:eastAsia="仿宋"/>
          <w:sz w:val="32"/>
        </w:rPr>
        <w:t>。</w:t>
      </w:r>
    </w:p>
    <w:p>
      <w:pPr>
        <w:ind w:firstLine="470" w:firstLineChars="147"/>
        <w:rPr>
          <w:rFonts w:ascii="楷体" w:hAnsi="楷体" w:eastAsia="楷体"/>
          <w:sz w:val="32"/>
        </w:rPr>
      </w:pPr>
      <w:r>
        <w:rPr>
          <w:rFonts w:hint="eastAsia" w:ascii="楷体" w:hAnsi="楷体" w:eastAsia="楷体"/>
          <w:sz w:val="32"/>
        </w:rPr>
        <w:t>（二）框架设计及标准编写情况</w:t>
      </w:r>
    </w:p>
    <w:p>
      <w:pPr>
        <w:spacing w:line="360" w:lineRule="auto"/>
        <w:ind w:firstLine="640" w:firstLineChars="200"/>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服务行业调研，明确思路。通过调研，明确工作思路：一是依据市情，以旅游六要素为内容，走有黄山特色的旅游服务标准化之路；二是突出重点，从公共信息图形标示工作入手，从基础较好的企业开展试点；三是学习借鉴国有大型城市功能配套的服务企业的标准化工作经验，主要在人才培训、标准制定、试点建设和宣传推广等方面很下功夫，切实提高以旅游为特色的服务企业的质量水平，增强工作的有效性，加快现代旅游国际城市建设步伐。</w:t>
      </w:r>
    </w:p>
    <w:p>
      <w:pPr>
        <w:spacing w:line="360" w:lineRule="auto"/>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建立信息库、专家库。组建旅游服务标准化技术委员会，成立项目技术指导组。建立专家库，确保服务标准化工作始终保持在一个较高的水平。建立旅游服务标准化信息库，掌握</w:t>
      </w:r>
      <w:r>
        <w:rPr>
          <w:rFonts w:ascii="仿宋" w:hAnsi="仿宋" w:eastAsia="仿宋"/>
          <w:sz w:val="32"/>
        </w:rPr>
        <w:t>国内外</w:t>
      </w:r>
      <w:r>
        <w:rPr>
          <w:rFonts w:hint="eastAsia" w:ascii="仿宋" w:hAnsi="仿宋" w:eastAsia="仿宋"/>
          <w:sz w:val="32"/>
        </w:rPr>
        <w:t>旅游</w:t>
      </w:r>
      <w:r>
        <w:rPr>
          <w:rFonts w:ascii="仿宋" w:hAnsi="仿宋" w:eastAsia="仿宋"/>
          <w:sz w:val="32"/>
        </w:rPr>
        <w:t>服务标准化工作动态和标准信息。</w:t>
      </w:r>
    </w:p>
    <w:p>
      <w:pPr>
        <w:spacing w:line="360" w:lineRule="auto"/>
        <w:ind w:firstLine="640" w:firstLineChars="200"/>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编制项目建设指南。为便于试点单位了解示范项目内容，组织编制宣传手册和项目建设指南，指导试点单位建立组织、建立标准体系、实施标准、开展评价。</w:t>
      </w:r>
    </w:p>
    <w:p>
      <w:pPr>
        <w:spacing w:line="360" w:lineRule="auto"/>
        <w:ind w:firstLine="640" w:firstLineChars="200"/>
        <w:rPr>
          <w:rFonts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人才培训。组织业务培训，做到旅游服务标准化工作队伍知识体系的适时更新。国务院参事郎</w:t>
      </w:r>
      <w:r>
        <w:rPr>
          <w:rFonts w:ascii="仿宋" w:hAnsi="仿宋" w:eastAsia="仿宋"/>
          <w:sz w:val="32"/>
        </w:rPr>
        <w:t>志正教授</w:t>
      </w:r>
      <w:r>
        <w:rPr>
          <w:rFonts w:hint="eastAsia" w:ascii="仿宋" w:hAnsi="仿宋" w:eastAsia="仿宋"/>
          <w:sz w:val="32"/>
        </w:rPr>
        <w:t>以及魏小安等知名旅游专家应邀来授课，讲解标准化知识。召开旅游服务标准化试点建设工作现场观摩会，介绍服务标准化形势，交流工作经验，为示范单位创建提供了智力保障。</w:t>
      </w:r>
    </w:p>
    <w:p>
      <w:pPr>
        <w:spacing w:line="360" w:lineRule="auto"/>
        <w:ind w:firstLine="640" w:firstLineChars="200"/>
        <w:rPr>
          <w:rFonts w:ascii="仿宋" w:hAnsi="仿宋" w:eastAsia="仿宋"/>
          <w:sz w:val="32"/>
        </w:rPr>
      </w:pPr>
      <w:r>
        <w:rPr>
          <w:rFonts w:hint="eastAsia" w:ascii="仿宋" w:hAnsi="仿宋" w:eastAsia="仿宋"/>
          <w:sz w:val="32"/>
        </w:rPr>
        <w:t>5</w:t>
      </w:r>
      <w:r>
        <w:rPr>
          <w:rFonts w:hint="eastAsia" w:ascii="仿宋" w:hAnsi="仿宋" w:eastAsia="仿宋"/>
          <w:sz w:val="32"/>
          <w:lang w:eastAsia="zh-CN"/>
        </w:rPr>
        <w:t>.</w:t>
      </w:r>
      <w:r>
        <w:rPr>
          <w:rFonts w:hint="eastAsia" w:ascii="仿宋" w:hAnsi="仿宋" w:eastAsia="仿宋"/>
          <w:sz w:val="32"/>
        </w:rPr>
        <w:t>信息平台建设。制作“创建国家服务标准化示范城市”网页，建立了旅游服务标准化项目信息平台。</w:t>
      </w:r>
    </w:p>
    <w:p>
      <w:pPr>
        <w:spacing w:line="360" w:lineRule="auto"/>
        <w:ind w:firstLine="640" w:firstLineChars="200"/>
        <w:rPr>
          <w:rFonts w:ascii="仿宋" w:hAnsi="仿宋" w:eastAsia="仿宋"/>
          <w:sz w:val="32"/>
        </w:rPr>
      </w:pPr>
      <w:r>
        <w:rPr>
          <w:rFonts w:hint="eastAsia" w:ascii="仿宋" w:hAnsi="仿宋" w:eastAsia="仿宋"/>
          <w:sz w:val="32"/>
        </w:rPr>
        <w:t>6</w:t>
      </w:r>
      <w:r>
        <w:rPr>
          <w:rFonts w:hint="eastAsia" w:ascii="仿宋" w:hAnsi="仿宋" w:eastAsia="仿宋"/>
          <w:sz w:val="32"/>
          <w:lang w:eastAsia="zh-CN"/>
        </w:rPr>
        <w:t>.</w:t>
      </w:r>
      <w:r>
        <w:rPr>
          <w:rFonts w:hint="eastAsia" w:ascii="仿宋" w:hAnsi="仿宋" w:eastAsia="仿宋"/>
          <w:sz w:val="32"/>
        </w:rPr>
        <w:t>完善旅游标识系统。组织有关部门</w:t>
      </w:r>
      <w:r>
        <w:rPr>
          <w:rFonts w:ascii="仿宋" w:hAnsi="仿宋" w:eastAsia="仿宋"/>
          <w:sz w:val="32"/>
        </w:rPr>
        <w:t>对机场、火车站、汽车站、主要街道、星级</w:t>
      </w:r>
      <w:r>
        <w:rPr>
          <w:rFonts w:hint="eastAsia" w:ascii="仿宋" w:hAnsi="仿宋" w:eastAsia="仿宋"/>
          <w:sz w:val="32"/>
        </w:rPr>
        <w:t>饭店</w:t>
      </w:r>
      <w:r>
        <w:rPr>
          <w:rFonts w:ascii="仿宋" w:hAnsi="仿宋" w:eastAsia="仿宋"/>
          <w:sz w:val="32"/>
        </w:rPr>
        <w:t>、大型商业机构</w:t>
      </w:r>
      <w:r>
        <w:rPr>
          <w:rFonts w:hint="eastAsia" w:ascii="仿宋" w:hAnsi="仿宋" w:eastAsia="仿宋"/>
          <w:sz w:val="32"/>
        </w:rPr>
        <w:t>、旅游景区</w:t>
      </w:r>
      <w:r>
        <w:rPr>
          <w:rFonts w:ascii="仿宋" w:hAnsi="仿宋" w:eastAsia="仿宋"/>
          <w:sz w:val="32"/>
        </w:rPr>
        <w:t>等</w:t>
      </w:r>
      <w:r>
        <w:rPr>
          <w:rFonts w:hint="eastAsia" w:ascii="仿宋" w:hAnsi="仿宋" w:eastAsia="仿宋"/>
          <w:sz w:val="32"/>
        </w:rPr>
        <w:t>旅游</w:t>
      </w:r>
      <w:r>
        <w:rPr>
          <w:rFonts w:ascii="仿宋" w:hAnsi="仿宋" w:eastAsia="仿宋"/>
          <w:sz w:val="32"/>
        </w:rPr>
        <w:t>企业及公共场所的图形标</w:t>
      </w:r>
      <w:r>
        <w:rPr>
          <w:rFonts w:hint="eastAsia" w:ascii="仿宋" w:hAnsi="仿宋" w:eastAsia="仿宋"/>
          <w:sz w:val="32"/>
        </w:rPr>
        <w:t>识</w:t>
      </w:r>
      <w:r>
        <w:rPr>
          <w:rFonts w:ascii="仿宋" w:hAnsi="仿宋" w:eastAsia="仿宋"/>
          <w:sz w:val="32"/>
        </w:rPr>
        <w:t>进行专项检查</w:t>
      </w:r>
      <w:r>
        <w:rPr>
          <w:rFonts w:hint="eastAsia" w:ascii="仿宋" w:hAnsi="仿宋" w:eastAsia="仿宋"/>
          <w:sz w:val="32"/>
        </w:rPr>
        <w:t>，</w:t>
      </w:r>
      <w:r>
        <w:rPr>
          <w:rFonts w:ascii="仿宋" w:hAnsi="仿宋" w:eastAsia="仿宋"/>
          <w:sz w:val="32"/>
        </w:rPr>
        <w:t>依据国家标准《标志用公共信息图形符号》</w:t>
      </w:r>
      <w:r>
        <w:rPr>
          <w:rFonts w:hint="eastAsia" w:ascii="仿宋" w:hAnsi="仿宋" w:eastAsia="仿宋"/>
          <w:sz w:val="32"/>
        </w:rPr>
        <w:t>系列标准，予以规范。</w:t>
      </w:r>
    </w:p>
    <w:p>
      <w:pPr>
        <w:spacing w:line="360" w:lineRule="auto"/>
        <w:ind w:firstLine="640" w:firstLineChars="200"/>
        <w:rPr>
          <w:rFonts w:ascii="仿宋" w:hAnsi="仿宋" w:eastAsia="仿宋"/>
          <w:sz w:val="32"/>
        </w:rPr>
      </w:pPr>
      <w:r>
        <w:rPr>
          <w:rFonts w:hint="eastAsia" w:ascii="仿宋" w:hAnsi="仿宋" w:eastAsia="仿宋"/>
          <w:sz w:val="32"/>
        </w:rPr>
        <w:t>7</w:t>
      </w:r>
      <w:r>
        <w:rPr>
          <w:rFonts w:hint="eastAsia" w:ascii="仿宋" w:hAnsi="仿宋" w:eastAsia="仿宋"/>
          <w:sz w:val="32"/>
          <w:lang w:eastAsia="zh-CN"/>
        </w:rPr>
        <w:t>.</w:t>
      </w:r>
      <w:r>
        <w:rPr>
          <w:rFonts w:hint="eastAsia" w:ascii="仿宋" w:hAnsi="仿宋" w:eastAsia="仿宋"/>
          <w:sz w:val="32"/>
        </w:rPr>
        <w:t>制定旅游服务标准。按照宾馆、景区、交通、旅行社等分类，组织专家和部分从业人员对服务产品、流程、组织机构以及影响服务质量的方面进行解剖、分析，认真研究讨论，注重体系的合理性、系统性、条理性和可操作性。完成了以国家、行业标准为主体、地方标准为补充的旅游服务标准体系表。按照全市旅游服务企业的实际，编制黄山市旅游服务标准体系分类明细表（示例），由通用基础标准，宾馆、景区、交通、旅行社模板的保障标准和提供标准等部分组成。引导旅游企业根据实际，制定适合自身特点的企业标准，积极参与地方标准的制定。</w:t>
      </w:r>
    </w:p>
    <w:p>
      <w:pPr>
        <w:spacing w:line="360" w:lineRule="auto"/>
        <w:ind w:firstLine="640" w:firstLineChars="200"/>
        <w:rPr>
          <w:rFonts w:ascii="仿宋" w:hAnsi="仿宋" w:eastAsia="仿宋"/>
          <w:sz w:val="32"/>
        </w:rPr>
      </w:pPr>
      <w:r>
        <w:rPr>
          <w:rFonts w:ascii="仿宋" w:hAnsi="仿宋" w:eastAsia="仿宋"/>
          <w:sz w:val="32"/>
        </w:rPr>
        <w:t>加强徽文化资源的挖掘整理和保护利用</w:t>
      </w:r>
      <w:r>
        <w:rPr>
          <w:rFonts w:hint="eastAsia" w:ascii="仿宋" w:hAnsi="仿宋" w:eastAsia="仿宋"/>
          <w:sz w:val="32"/>
        </w:rPr>
        <w:t>，</w:t>
      </w:r>
      <w:r>
        <w:rPr>
          <w:rFonts w:ascii="仿宋" w:hAnsi="仿宋" w:eastAsia="仿宋"/>
          <w:sz w:val="32"/>
        </w:rPr>
        <w:t>促进旅游与文化深度结合</w:t>
      </w:r>
      <w:r>
        <w:rPr>
          <w:rFonts w:hint="eastAsia" w:ascii="仿宋" w:hAnsi="仿宋" w:eastAsia="仿宋"/>
          <w:sz w:val="32"/>
        </w:rPr>
        <w:t>，制定了《导游词规范》《抛绣球》《祠祭》《翡翠谷情人节》《跳钟馗》地方标准，规范特色旅游项目表演，确保宣传内容统一协调。</w:t>
      </w:r>
      <w:r>
        <w:rPr>
          <w:rFonts w:ascii="仿宋" w:hAnsi="仿宋" w:eastAsia="仿宋"/>
          <w:sz w:val="32"/>
        </w:rPr>
        <w:t>着力振兴徽菜产业</w:t>
      </w:r>
      <w:r>
        <w:rPr>
          <w:rFonts w:hint="eastAsia" w:ascii="仿宋" w:hAnsi="仿宋" w:eastAsia="仿宋"/>
          <w:sz w:val="32"/>
        </w:rPr>
        <w:t>，</w:t>
      </w:r>
      <w:r>
        <w:rPr>
          <w:rFonts w:ascii="仿宋" w:hAnsi="仿宋" w:eastAsia="仿宋"/>
          <w:sz w:val="32"/>
        </w:rPr>
        <w:t>开展徽菜标准的系统研究，</w:t>
      </w:r>
      <w:r>
        <w:rPr>
          <w:rFonts w:hint="eastAsia" w:ascii="仿宋" w:hAnsi="仿宋" w:eastAsia="仿宋"/>
          <w:sz w:val="32"/>
        </w:rPr>
        <w:t>制定并贯彻实施《徽州臭鳜鱼》等20项徽菜标准，克服概念和操作的模糊性和随意性</w:t>
      </w:r>
      <w:r>
        <w:rPr>
          <w:rFonts w:ascii="仿宋" w:hAnsi="仿宋" w:eastAsia="仿宋"/>
          <w:sz w:val="32"/>
        </w:rPr>
        <w:t>，</w:t>
      </w:r>
      <w:r>
        <w:rPr>
          <w:rFonts w:hint="eastAsia" w:ascii="仿宋" w:hAnsi="仿宋" w:eastAsia="仿宋"/>
          <w:sz w:val="32"/>
        </w:rPr>
        <w:t>推动徽菜制作</w:t>
      </w:r>
      <w:r>
        <w:rPr>
          <w:rFonts w:ascii="仿宋" w:hAnsi="仿宋" w:eastAsia="仿宋"/>
          <w:sz w:val="32"/>
        </w:rPr>
        <w:t xml:space="preserve">向程序化、标准化方向发展。 </w:t>
      </w:r>
      <w:r>
        <w:rPr>
          <w:rFonts w:hint="eastAsia" w:ascii="仿宋" w:hAnsi="仿宋" w:eastAsia="仿宋"/>
          <w:sz w:val="32"/>
        </w:rPr>
        <w:t>对黄山风景区环境保洁和生态游步道建设方面经验加以提炼，制定了风景名胜区环境保洁和生态游道建设以及旅游资源保护规范等地方标准，充分体现了保护与开发相统一和可持续发展，在规范行为方面，制定了《体验式户外拓展活动服务规范》《旅游团队用餐服务规范》《团队旅游线路服务规范》《旅游星级餐馆厨房规范》《餐饮企业计量规范》《景区游客换乘中心服务规范》《旅游购物点服务规范》。为确保旅游产品质量，</w:t>
      </w:r>
      <w:r>
        <w:rPr>
          <w:rFonts w:ascii="仿宋" w:hAnsi="仿宋" w:eastAsia="仿宋"/>
          <w:sz w:val="32"/>
        </w:rPr>
        <w:t>加大品牌培育力度</w:t>
      </w:r>
      <w:r>
        <w:rPr>
          <w:rFonts w:hint="eastAsia" w:ascii="仿宋" w:hAnsi="仿宋" w:eastAsia="仿宋"/>
          <w:sz w:val="32"/>
        </w:rPr>
        <w:t>，制定了《黄山毛峰茶》《太平猴魁茶》《黄山贡菊》国家标准和《五城豆腐干》《祁门红茶》省级地方标准，开展名优茶国家标准实物样工作。 </w:t>
      </w:r>
    </w:p>
    <w:p>
      <w:pPr>
        <w:spacing w:line="360" w:lineRule="auto"/>
        <w:ind w:firstLine="640" w:firstLineChars="200"/>
        <w:rPr>
          <w:rFonts w:ascii="仿宋" w:hAnsi="仿宋" w:eastAsia="仿宋"/>
          <w:sz w:val="32"/>
        </w:rPr>
      </w:pPr>
      <w:r>
        <w:rPr>
          <w:rFonts w:hint="eastAsia" w:ascii="仿宋" w:hAnsi="仿宋" w:eastAsia="仿宋"/>
          <w:sz w:val="32"/>
        </w:rPr>
        <w:t>8</w:t>
      </w:r>
      <w:r>
        <w:rPr>
          <w:rFonts w:hint="eastAsia" w:ascii="仿宋" w:hAnsi="仿宋" w:eastAsia="仿宋"/>
          <w:sz w:val="32"/>
          <w:lang w:eastAsia="zh-CN"/>
        </w:rPr>
        <w:t>.</w:t>
      </w:r>
      <w:r>
        <w:rPr>
          <w:rFonts w:hint="eastAsia" w:ascii="仿宋" w:hAnsi="仿宋" w:eastAsia="仿宋"/>
          <w:sz w:val="32"/>
        </w:rPr>
        <w:t>培育试点。发动基础条件好、有一定规模、体现本地特色优势的旅游单位和旅游项目积极申报服务标准化示范项目。组织专家指导试点单位建立标准体系；</w:t>
      </w:r>
      <w:r>
        <w:rPr>
          <w:rFonts w:ascii="仿宋" w:hAnsi="仿宋" w:eastAsia="仿宋"/>
          <w:sz w:val="32"/>
        </w:rPr>
        <w:t>制定具体细致、便于操作的</w:t>
      </w:r>
      <w:r>
        <w:rPr>
          <w:rFonts w:hint="eastAsia" w:ascii="仿宋" w:hAnsi="仿宋" w:eastAsia="仿宋"/>
          <w:sz w:val="32"/>
        </w:rPr>
        <w:t>服务质量</w:t>
      </w:r>
      <w:r>
        <w:rPr>
          <w:rFonts w:ascii="仿宋" w:hAnsi="仿宋" w:eastAsia="仿宋"/>
          <w:sz w:val="32"/>
        </w:rPr>
        <w:t>、管理和</w:t>
      </w:r>
      <w:r>
        <w:rPr>
          <w:rFonts w:hint="eastAsia" w:ascii="仿宋" w:hAnsi="仿宋" w:eastAsia="仿宋"/>
          <w:sz w:val="32"/>
        </w:rPr>
        <w:t>工作</w:t>
      </w:r>
      <w:r>
        <w:rPr>
          <w:rFonts w:ascii="仿宋" w:hAnsi="仿宋" w:eastAsia="仿宋"/>
          <w:sz w:val="32"/>
        </w:rPr>
        <w:t>标准</w:t>
      </w:r>
      <w:r>
        <w:rPr>
          <w:rFonts w:hint="eastAsia" w:ascii="仿宋" w:hAnsi="仿宋" w:eastAsia="仿宋"/>
          <w:sz w:val="32"/>
        </w:rPr>
        <w:t>；引导企业提供标准化服务，不断提高服务质量水平。</w:t>
      </w:r>
    </w:p>
    <w:p>
      <w:pPr>
        <w:spacing w:line="360" w:lineRule="auto"/>
        <w:ind w:firstLine="640" w:firstLineChars="200"/>
        <w:rPr>
          <w:rFonts w:ascii="仿宋" w:hAnsi="仿宋" w:eastAsia="仿宋"/>
          <w:sz w:val="32"/>
        </w:rPr>
      </w:pPr>
      <w:r>
        <w:rPr>
          <w:rFonts w:hint="eastAsia" w:ascii="仿宋" w:hAnsi="仿宋" w:eastAsia="仿宋"/>
          <w:sz w:val="32"/>
        </w:rPr>
        <w:t>积极开展服务技能竞赛活动，促进旅游服务标准化建设，精心筹划旅游行业服务技能赛事活动和首届旅游商品设计大赛；举办了旅游服务行业职工技能大赛；取得了以旅游服务标准化促进服务质量水平提升的效果。</w:t>
      </w:r>
    </w:p>
    <w:p>
      <w:pPr>
        <w:spacing w:line="360" w:lineRule="auto"/>
        <w:ind w:firstLine="640" w:firstLineChars="200"/>
        <w:rPr>
          <w:rFonts w:ascii="仿宋" w:hAnsi="仿宋" w:eastAsia="仿宋"/>
          <w:sz w:val="32"/>
        </w:rPr>
      </w:pPr>
      <w:r>
        <w:rPr>
          <w:rFonts w:hint="eastAsia" w:ascii="仿宋" w:hAnsi="仿宋" w:eastAsia="仿宋"/>
          <w:sz w:val="32"/>
        </w:rPr>
        <w:t>9</w:t>
      </w:r>
      <w:r>
        <w:rPr>
          <w:rFonts w:hint="eastAsia" w:ascii="仿宋" w:hAnsi="仿宋" w:eastAsia="仿宋"/>
          <w:sz w:val="32"/>
          <w:lang w:eastAsia="zh-CN"/>
        </w:rPr>
        <w:t>.</w:t>
      </w:r>
      <w:r>
        <w:rPr>
          <w:rFonts w:hint="eastAsia" w:ascii="仿宋" w:hAnsi="仿宋" w:eastAsia="仿宋"/>
          <w:sz w:val="32"/>
        </w:rPr>
        <w:t>等级评定和体系认证 。加强标准宣贯，提高旅游服务标准化认识。把争A创星等标准化活动作为推进旅游国际化的重要工作来抓，召开会议专题研究创建工作，出台奖励政策，推动创建活动向纵深发展。</w:t>
      </w:r>
    </w:p>
    <w:p>
      <w:pPr>
        <w:ind w:firstLine="470" w:firstLineChars="147"/>
        <w:rPr>
          <w:rFonts w:ascii="楷体" w:hAnsi="楷体" w:eastAsia="楷体"/>
          <w:sz w:val="32"/>
        </w:rPr>
      </w:pPr>
      <w:r>
        <w:rPr>
          <w:rFonts w:hint="eastAsia" w:ascii="楷体" w:hAnsi="楷体" w:eastAsia="楷体"/>
          <w:sz w:val="32"/>
        </w:rPr>
        <w:t>（三）建立标准体系</w:t>
      </w:r>
    </w:p>
    <w:p>
      <w:pPr>
        <w:spacing w:line="360" w:lineRule="auto"/>
        <w:ind w:firstLine="640" w:firstLineChars="200"/>
        <w:rPr>
          <w:rFonts w:ascii="仿宋" w:hAnsi="仿宋" w:eastAsia="仿宋"/>
          <w:sz w:val="32"/>
        </w:rPr>
      </w:pPr>
      <w:r>
        <w:rPr>
          <w:rFonts w:hint="eastAsia" w:ascii="仿宋" w:hAnsi="仿宋" w:eastAsia="仿宋"/>
          <w:sz w:val="32"/>
        </w:rPr>
        <w:t>在三年的试点建设过程中，结合黄山的实际，整理出符合黄山特色的服务标准体系架构，围绕吃、住、行、游、购、娱旅游六要素，构筑了景区（点）、宾馆、旅行社、交通四大模块，覆盖了旅游服务基础通用标准、服务保障标准、服务提供标准的三大标准体系，主持制定了国家标准3项、安徽省地方标准41项、企业标准18000项</w:t>
      </w:r>
      <w:bookmarkStart w:id="65" w:name="_Toc325039143"/>
      <w:r>
        <w:rPr>
          <w:rFonts w:hint="eastAsia" w:ascii="仿宋" w:hAnsi="仿宋" w:eastAsia="仿宋"/>
          <w:sz w:val="32"/>
        </w:rPr>
        <w:t>。</w:t>
      </w:r>
    </w:p>
    <w:p>
      <w:pPr>
        <w:spacing w:line="360" w:lineRule="auto"/>
        <w:ind w:firstLine="640" w:firstLineChars="200"/>
        <w:rPr>
          <w:rFonts w:ascii="黑体" w:hAnsi="黑体" w:eastAsia="黑体"/>
          <w:b w:val="0"/>
          <w:bCs/>
          <w:sz w:val="32"/>
        </w:rPr>
      </w:pPr>
      <w:r>
        <w:rPr>
          <w:rFonts w:hint="eastAsia" w:ascii="黑体" w:hAnsi="黑体" w:eastAsia="黑体"/>
          <w:b w:val="0"/>
          <w:bCs/>
          <w:sz w:val="32"/>
        </w:rPr>
        <w:t>四、</w:t>
      </w:r>
      <w:bookmarkEnd w:id="63"/>
      <w:r>
        <w:rPr>
          <w:rFonts w:hint="eastAsia" w:ascii="黑体" w:hAnsi="黑体" w:eastAsia="黑体"/>
          <w:b w:val="0"/>
          <w:bCs/>
          <w:sz w:val="32"/>
        </w:rPr>
        <w:t>组织实施情况</w:t>
      </w:r>
      <w:bookmarkEnd w:id="65"/>
      <w:bookmarkStart w:id="66" w:name="_Toc256099460"/>
      <w:bookmarkStart w:id="67" w:name="_Toc325039144"/>
    </w:p>
    <w:p>
      <w:pPr>
        <w:spacing w:line="360" w:lineRule="auto"/>
        <w:ind w:firstLine="640" w:firstLineChars="200"/>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政府重视、部门配合。为做好各项标准的贯彻与实施，市政府研究制定了《关于加快推进旅游服务标准化工作的意见》和《黄山市旅游服务标准化工作三年实施意见》，明确了指导思想、总体目标和具体任务。市政府多次召开市长办公会，专题研究部署旅游服务标准化工作；省市场监管局高度重视黄山市旅游服务标准化试点工作，主动服务，加强业务指导，并和黄山市政府签订了“加强服务标准化，推进旅游国际化，合作促进黄山旅游业又好又快发展”备忘录；领导小组各成员单位及有关部门各司其职，密切配合，有计划、有步骤地推进标准的贯彻与实施。</w:t>
      </w:r>
    </w:p>
    <w:p>
      <w:pPr>
        <w:spacing w:line="360" w:lineRule="auto"/>
        <w:ind w:firstLine="640" w:firstLineChars="200"/>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多措并举、广泛宣传。试点建设期间，为加大标准的宣贯力度，首先，以“企业为主体，理论学习和实际操作结合”的方式，共举办百人以上标准宣贯会7场，参加人员达3000余人次，各试点企业结合自身实际适时举办标准宣贯会；其次，以“现场观摩、相互交流、专家点评、互学互助”的方式，共举办现场观摩会有场，参加人员达220多人次；三是，为帮助企业掌握和提高服务标准化技能，举办了导游词、摆台、礼仪服务、厨艺等丰富多彩的竞技比武活动，以些掀起全市旅游行业推行服务标准化的热潮，先后举办了18场比赛，85家企业640多人参加了竞技比赛；同时，还利用各类媒体进行宣传，积极组织中国质量报、安徽电视台、安徽人民广播电台、安徽日报等媒体对全市创建工作进行追踪报道，系列</w:t>
      </w:r>
      <w:r>
        <w:rPr>
          <w:rFonts w:ascii="仿宋" w:hAnsi="仿宋" w:eastAsia="仿宋"/>
          <w:sz w:val="32"/>
        </w:rPr>
        <w:t>宣传</w:t>
      </w:r>
      <w:r>
        <w:rPr>
          <w:rFonts w:hint="eastAsia" w:ascii="仿宋" w:hAnsi="仿宋" w:eastAsia="仿宋"/>
          <w:sz w:val="32"/>
        </w:rPr>
        <w:t>；创办宣传网页、印发宣传画册等形式进行深入宣传推行服务标准化的意义和作用；许多企业还专门设置宣传栏；通过举办讲座、业务培训等，提高标准化工作人员全社会的标准化意识。</w:t>
      </w:r>
    </w:p>
    <w:p>
      <w:pPr>
        <w:spacing w:line="360" w:lineRule="auto"/>
        <w:ind w:firstLine="422" w:firstLineChars="200"/>
        <w:rPr>
          <w:rFonts w:ascii="宋体" w:hAnsi="宋体"/>
          <w:b/>
        </w:rPr>
      </w:pPr>
    </w:p>
    <w:p>
      <w:pPr>
        <w:spacing w:line="360" w:lineRule="auto"/>
        <w:ind w:firstLine="422" w:firstLineChars="200"/>
        <w:rPr>
          <w:rFonts w:ascii="宋体" w:hAnsi="宋体"/>
          <w:b/>
        </w:rPr>
        <w:sectPr>
          <w:headerReference r:id="rId8" w:type="default"/>
          <w:footerReference r:id="rId9" w:type="default"/>
          <w:footerReference r:id="rId10" w:type="even"/>
          <w:pgSz w:w="11906" w:h="16838"/>
          <w:pgMar w:top="1440" w:right="1797" w:bottom="1440" w:left="1797" w:header="851" w:footer="992" w:gutter="0"/>
          <w:pgNumType w:fmt="decimal"/>
          <w:cols w:space="425" w:num="1"/>
          <w:docGrid w:type="lines" w:linePitch="312" w:charSpace="0"/>
        </w:sectPr>
      </w:pPr>
    </w:p>
    <w:p>
      <w:pPr>
        <w:spacing w:line="360" w:lineRule="auto"/>
        <w:ind w:firstLine="640" w:firstLineChars="200"/>
        <w:rPr>
          <w:rFonts w:ascii="黑体" w:hAnsi="黑体" w:eastAsia="黑体"/>
          <w:bCs/>
          <w:sz w:val="32"/>
        </w:rPr>
      </w:pPr>
      <w:r>
        <w:rPr>
          <w:rFonts w:hint="eastAsia" w:ascii="黑体" w:hAnsi="黑体" w:eastAsia="黑体"/>
          <w:bCs/>
          <w:sz w:val="32"/>
        </w:rPr>
        <w:t>五、</w:t>
      </w:r>
      <w:bookmarkEnd w:id="66"/>
      <w:r>
        <w:rPr>
          <w:rFonts w:hint="eastAsia" w:ascii="黑体" w:hAnsi="黑体" w:eastAsia="黑体"/>
          <w:bCs/>
          <w:sz w:val="32"/>
        </w:rPr>
        <w:t>标准体系框架及标准统计表</w:t>
      </w:r>
      <w:bookmarkEnd w:id="67"/>
    </w:p>
    <w:tbl>
      <w:tblPr>
        <w:tblStyle w:val="17"/>
        <w:tblpPr w:leftFromText="180" w:rightFromText="180" w:vertAnchor="text" w:horzAnchor="margin" w:tblpXSpec="center" w:tblpY="217"/>
        <w:tblW w:w="1615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6"/>
        <w:gridCol w:w="457"/>
        <w:gridCol w:w="457"/>
        <w:gridCol w:w="457"/>
        <w:gridCol w:w="457"/>
        <w:gridCol w:w="457"/>
        <w:gridCol w:w="457"/>
        <w:gridCol w:w="457"/>
        <w:gridCol w:w="457"/>
        <w:gridCol w:w="457"/>
        <w:gridCol w:w="131"/>
        <w:gridCol w:w="88"/>
        <w:gridCol w:w="238"/>
        <w:gridCol w:w="457"/>
        <w:gridCol w:w="457"/>
        <w:gridCol w:w="457"/>
        <w:gridCol w:w="457"/>
        <w:gridCol w:w="457"/>
        <w:gridCol w:w="457"/>
        <w:gridCol w:w="457"/>
        <w:gridCol w:w="457"/>
        <w:gridCol w:w="122"/>
        <w:gridCol w:w="335"/>
        <w:gridCol w:w="457"/>
        <w:gridCol w:w="457"/>
        <w:gridCol w:w="452"/>
        <w:gridCol w:w="104"/>
        <w:gridCol w:w="340"/>
        <w:gridCol w:w="448"/>
        <w:gridCol w:w="457"/>
        <w:gridCol w:w="77"/>
        <w:gridCol w:w="349"/>
        <w:gridCol w:w="438"/>
        <w:gridCol w:w="426"/>
        <w:gridCol w:w="426"/>
        <w:gridCol w:w="426"/>
        <w:gridCol w:w="417"/>
        <w:gridCol w:w="426"/>
        <w:gridCol w:w="417"/>
        <w:gridCol w:w="4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43" w:hRule="atLeast"/>
        </w:trPr>
        <w:tc>
          <w:tcPr>
            <w:tcW w:w="16152" w:type="dxa"/>
            <w:gridSpan w:val="40"/>
            <w:tcBorders>
              <w:top w:val="nil"/>
              <w:left w:val="nil"/>
              <w:bottom w:val="nil"/>
              <w:right w:val="nil"/>
            </w:tcBorders>
            <w:shd w:val="clear" w:color="auto" w:fill="auto"/>
            <w:noWrap/>
          </w:tcPr>
          <w:p>
            <w:pPr>
              <w:widowControl/>
              <w:jc w:val="left"/>
              <w:rPr>
                <w:rFonts w:ascii="宋体" w:hAnsi="宋体" w:eastAsia="宋体" w:cs="宋体"/>
                <w:b/>
                <w:bCs/>
                <w:kern w:val="0"/>
                <w:sz w:val="18"/>
                <w:szCs w:val="18"/>
              </w:rPr>
            </w:pPr>
            <w:r>
              <w:rPr>
                <w:rFonts w:ascii="宋体" w:hAnsi="宋体" w:eastAsia="宋体" w:cs="宋体"/>
                <w:b/>
                <w:bCs/>
                <w:kern w:val="0"/>
                <w:sz w:val="18"/>
                <w:szCs w:val="18"/>
              </w:rPr>
              <mc:AlternateContent>
                <mc:Choice Requires="wps">
                  <w:drawing>
                    <wp:anchor distT="0" distB="0" distL="114300" distR="114300" simplePos="0" relativeHeight="251715584" behindDoc="0" locked="0" layoutInCell="1" allowOverlap="1">
                      <wp:simplePos x="0" y="0"/>
                      <wp:positionH relativeFrom="column">
                        <wp:posOffset>3995420</wp:posOffset>
                      </wp:positionH>
                      <wp:positionV relativeFrom="paragraph">
                        <wp:posOffset>88265</wp:posOffset>
                      </wp:positionV>
                      <wp:extent cx="2286000" cy="396240"/>
                      <wp:effectExtent l="13970" t="7620" r="5080" b="5715"/>
                      <wp:wrapNone/>
                      <wp:docPr id="21558" name="矩形 21558"/>
                      <wp:cNvGraphicFramePr/>
                      <a:graphic xmlns:a="http://schemas.openxmlformats.org/drawingml/2006/main">
                        <a:graphicData uri="http://schemas.microsoft.com/office/word/2010/wordprocessingShape">
                          <wps:wsp>
                            <wps:cNvSpPr>
                              <a:spLocks noChangeArrowheads="1"/>
                            </wps:cNvSpPr>
                            <wps:spPr bwMode="auto">
                              <a:xfrm>
                                <a:off x="0" y="0"/>
                                <a:ext cx="2286000" cy="396240"/>
                              </a:xfrm>
                              <a:prstGeom prst="rect">
                                <a:avLst/>
                              </a:prstGeom>
                              <a:solidFill>
                                <a:srgbClr val="FFFFFF"/>
                              </a:solidFill>
                              <a:ln w="9525">
                                <a:solidFill>
                                  <a:srgbClr val="000000"/>
                                </a:solidFill>
                                <a:miter lim="800000"/>
                              </a:ln>
                            </wps:spPr>
                            <wps:txbx>
                              <w:txbxContent>
                                <w:p>
                                  <w:pPr>
                                    <w:rPr>
                                      <w:szCs w:val="21"/>
                                    </w:rPr>
                                  </w:pPr>
                                  <w:r>
                                    <w:rPr>
                                      <w:rFonts w:hint="eastAsia" w:ascii="宋体" w:hAnsi="宋体" w:cs="宋体"/>
                                      <w:b/>
                                      <w:bCs/>
                                      <w:kern w:val="0"/>
                                      <w:szCs w:val="21"/>
                                    </w:rPr>
                                    <w:t>黄山市旅游服务标准化领导小组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4.6pt;margin-top:6.95pt;height:31.2pt;width:180pt;z-index:251715584;mso-width-relative:page;mso-height-relative:page;" fillcolor="#FFFFFF" filled="t" stroked="t" coordsize="21600,21600" o:gfxdata="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Vbk8HWAAAACQEAAA8AAAAAAAAAAQAgAAAAIgAAAGRy&#10;cy9kb3ducmV2LnhtbFBLAQIUABQAAAAIAIdO4kCswv4rQAIAAIIEAAAOAAAAAAAAAAEAIAAAACUB&#10;AABkcnMvZTJvRG9jLnhtbFBLBQYAAAAABgAGAFkBAADXBQAAAAA=&#10;">
                      <v:fill on="t" focussize="0,0"/>
                      <v:stroke color="#000000" miterlimit="8" joinstyle="miter"/>
                      <v:imagedata o:title=""/>
                      <o:lock v:ext="edit" aspectratio="f"/>
                      <v:textbox>
                        <w:txbxContent>
                          <w:p>
                            <w:pPr>
                              <w:rPr>
                                <w:szCs w:val="21"/>
                              </w:rPr>
                            </w:pPr>
                            <w:r>
                              <w:rPr>
                                <w:rFonts w:hint="eastAsia" w:ascii="宋体" w:hAnsi="宋体" w:cs="宋体"/>
                                <w:b/>
                                <w:bCs/>
                                <w:kern w:val="0"/>
                                <w:szCs w:val="21"/>
                              </w:rPr>
                              <w:t>黄山市旅游服务标准化领导小组</w:t>
                            </w:r>
                          </w:p>
                        </w:txbxContent>
                      </v:textbox>
                    </v:rect>
                  </w:pict>
                </mc:Fallback>
              </mc:AlternateContent>
            </w:r>
          </w:p>
          <w:tbl>
            <w:tblPr>
              <w:tblStyle w:val="15"/>
              <w:tblW w:w="0" w:type="auto"/>
              <w:tblCellSpacing w:w="0" w:type="dxa"/>
              <w:tblInd w:w="0" w:type="dxa"/>
              <w:tblLayout w:type="autofit"/>
              <w:tblCellMar>
                <w:top w:w="0" w:type="dxa"/>
                <w:left w:w="0" w:type="dxa"/>
                <w:bottom w:w="0" w:type="dxa"/>
                <w:right w:w="0" w:type="dxa"/>
              </w:tblCellMar>
            </w:tblPr>
            <w:tblGrid>
              <w:gridCol w:w="13980"/>
            </w:tblGrid>
            <w:tr>
              <w:tblPrEx>
                <w:tblCellMar>
                  <w:top w:w="0" w:type="dxa"/>
                  <w:left w:w="0" w:type="dxa"/>
                  <w:bottom w:w="0" w:type="dxa"/>
                  <w:right w:w="0" w:type="dxa"/>
                </w:tblCellMar>
              </w:tblPrEx>
              <w:trPr>
                <w:trHeight w:val="420" w:hRule="atLeast"/>
                <w:tblCellSpacing w:w="0" w:type="dxa"/>
              </w:trPr>
              <w:tc>
                <w:tcPr>
                  <w:tcW w:w="13980"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r>
          </w:tbl>
          <w:p>
            <w:pPr>
              <w:widowControl/>
              <w:jc w:val="left"/>
              <w:rPr>
                <w:rFonts w:ascii="宋体" w:hAnsi="宋体" w:eastAsia="宋体" w:cs="宋体"/>
                <w:b/>
                <w:bCs/>
                <w:kern w:val="0"/>
                <w:sz w:val="18"/>
                <w:szCs w:val="18"/>
              </w:rPr>
            </w:pPr>
            <w:r>
              <w:rPr>
                <w:rFonts w:ascii="宋体" w:hAnsi="宋体" w:eastAsia="宋体" w:cs="宋体"/>
                <w:b/>
                <w:bCs/>
                <w:kern w:val="0"/>
                <w:sz w:val="18"/>
                <w:szCs w:val="18"/>
              </w:rPr>
              <mc:AlternateContent>
                <mc:Choice Requires="wps">
                  <w:drawing>
                    <wp:anchor distT="0" distB="0" distL="114300" distR="114300" simplePos="0" relativeHeight="251713536" behindDoc="0" locked="0" layoutInCell="1" allowOverlap="1">
                      <wp:simplePos x="0" y="0"/>
                      <wp:positionH relativeFrom="column">
                        <wp:posOffset>5138420</wp:posOffset>
                      </wp:positionH>
                      <wp:positionV relativeFrom="paragraph">
                        <wp:posOffset>19685</wp:posOffset>
                      </wp:positionV>
                      <wp:extent cx="0" cy="247650"/>
                      <wp:effectExtent l="61595" t="13335" r="52705" b="15240"/>
                      <wp:wrapNone/>
                      <wp:docPr id="21556" name="直接连接符 21556"/>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04.6pt;margin-top:1.55pt;height:19.5pt;width:0pt;z-index:251713536;mso-width-relative:page;mso-height-relative:page;" filled="f" stroked="t" coordsize="21600,21600" o:gfxdata="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eoGvdcAAAAIAQAADwAAAAAAAAABACAAAAAiAAAAZHJzL2Rv&#10;d25yZXYueG1sUEsBAhQAFAAAAAgAh07iQLwmR+oCAgAA3wMAAA4AAAAAAAAAAQAgAAAAJgEAAGRy&#10;cy9lMm9Eb2MueG1sUEsFBgAAAAAGAAYAWQEAAJoFAAAAAA==&#10;">
                      <v:fill on="f" focussize="0,0"/>
                      <v:stroke color="#000000" joinstyle="round" endarrow="block"/>
                      <v:imagedata o:title=""/>
                      <o:lock v:ext="edit" aspectratio="f"/>
                    </v:line>
                  </w:pict>
                </mc:Fallback>
              </mc:AlternateContent>
            </w:r>
          </w:p>
          <w:tbl>
            <w:tblPr>
              <w:tblStyle w:val="15"/>
              <w:tblW w:w="0" w:type="auto"/>
              <w:tblCellSpacing w:w="0" w:type="dxa"/>
              <w:tblInd w:w="0" w:type="dxa"/>
              <w:tblLayout w:type="autofit"/>
              <w:tblCellMar>
                <w:top w:w="0" w:type="dxa"/>
                <w:left w:w="0" w:type="dxa"/>
                <w:bottom w:w="0" w:type="dxa"/>
                <w:right w:w="0" w:type="dxa"/>
              </w:tblCellMar>
            </w:tblPr>
            <w:tblGrid>
              <w:gridCol w:w="13980"/>
            </w:tblGrid>
            <w:tr>
              <w:tblPrEx>
                <w:tblCellMar>
                  <w:top w:w="0" w:type="dxa"/>
                  <w:left w:w="0" w:type="dxa"/>
                  <w:bottom w:w="0" w:type="dxa"/>
                  <w:right w:w="0" w:type="dxa"/>
                </w:tblCellMar>
              </w:tblPrEx>
              <w:trPr>
                <w:trHeight w:val="420" w:hRule="atLeast"/>
                <w:tblCellSpacing w:w="0" w:type="dxa"/>
              </w:trPr>
              <w:tc>
                <w:tcPr>
                  <w:tcW w:w="13980" w:type="dxa"/>
                  <w:tcBorders>
                    <w:top w:val="nil"/>
                    <w:left w:val="nil"/>
                    <w:bottom w:val="nil"/>
                    <w:right w:val="nil"/>
                  </w:tcBorders>
                  <w:shd w:val="clear" w:color="auto" w:fill="auto"/>
                  <w:vAlign w:val="bottom"/>
                </w:tcPr>
                <w:p>
                  <w:pPr>
                    <w:widowControl/>
                    <w:jc w:val="center"/>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716608" behindDoc="0" locked="0" layoutInCell="1" allowOverlap="1">
                            <wp:simplePos x="0" y="0"/>
                            <wp:positionH relativeFrom="column">
                              <wp:posOffset>3747135</wp:posOffset>
                            </wp:positionH>
                            <wp:positionV relativeFrom="paragraph">
                              <wp:posOffset>67310</wp:posOffset>
                            </wp:positionV>
                            <wp:extent cx="2852420" cy="843915"/>
                            <wp:effectExtent l="4445" t="4445" r="19685" b="8890"/>
                            <wp:wrapNone/>
                            <wp:docPr id="21557" name="矩形 21557"/>
                            <wp:cNvGraphicFramePr/>
                            <a:graphic xmlns:a="http://schemas.openxmlformats.org/drawingml/2006/main">
                              <a:graphicData uri="http://schemas.microsoft.com/office/word/2010/wordprocessingShape">
                                <wps:wsp>
                                  <wps:cNvSpPr>
                                    <a:spLocks noChangeArrowheads="1"/>
                                  </wps:cNvSpPr>
                                  <wps:spPr bwMode="auto">
                                    <a:xfrm>
                                      <a:off x="0" y="0"/>
                                      <a:ext cx="2852420" cy="843915"/>
                                    </a:xfrm>
                                    <a:prstGeom prst="rect">
                                      <a:avLst/>
                                    </a:prstGeom>
                                    <a:solidFill>
                                      <a:srgbClr val="FFFFFF"/>
                                    </a:solidFill>
                                    <a:ln w="9525">
                                      <a:solidFill>
                                        <a:srgbClr val="000000"/>
                                      </a:solidFill>
                                      <a:miter lim="800000"/>
                                    </a:ln>
                                  </wps:spPr>
                                  <wps:txbx>
                                    <w:txbxContent>
                                      <w:p>
                                        <w:pPr>
                                          <w:widowControl/>
                                          <w:adjustRightInd w:val="0"/>
                                          <w:snapToGrid w:val="0"/>
                                          <w:ind w:firstLine="5565" w:firstLineChars="2650"/>
                                          <w:jc w:val="center"/>
                                          <w:rPr>
                                            <w:rFonts w:ascii="宋体" w:hAnsi="宋体" w:cs="宋体"/>
                                            <w:b/>
                                            <w:bCs/>
                                            <w:kern w:val="0"/>
                                            <w:szCs w:val="21"/>
                                          </w:rPr>
                                        </w:pPr>
                                        <w:r>
                                          <w:rPr>
                                            <w:rFonts w:hint="eastAsia" w:ascii="宋体" w:hAnsi="宋体" w:cs="宋体"/>
                                            <w:kern w:val="0"/>
                                            <w:szCs w:val="21"/>
                                          </w:rPr>
                                          <w:t>领</w:t>
                                        </w:r>
                                        <w:r>
                                          <w:rPr>
                                            <w:rFonts w:hint="eastAsia" w:ascii="宋体" w:hAnsi="宋体" w:cs="宋体"/>
                                            <w:b/>
                                            <w:bCs/>
                                            <w:kern w:val="0"/>
                                            <w:szCs w:val="21"/>
                                          </w:rPr>
                                          <w:t>领导小组办公室</w:t>
                                        </w:r>
                                      </w:p>
                                      <w:p>
                                        <w:pPr>
                                          <w:widowControl/>
                                          <w:adjustRightInd w:val="0"/>
                                          <w:snapToGrid w:val="0"/>
                                          <w:ind w:firstLine="4339" w:firstLineChars="2058"/>
                                          <w:jc w:val="center"/>
                                          <w:rPr>
                                            <w:rFonts w:ascii="宋体" w:hAnsi="宋体" w:cs="宋体"/>
                                            <w:b/>
                                            <w:bCs/>
                                            <w:kern w:val="0"/>
                                            <w:szCs w:val="21"/>
                                          </w:rPr>
                                        </w:pPr>
                                        <w:r>
                                          <w:rPr>
                                            <w:rFonts w:hint="eastAsia" w:ascii="宋体" w:hAnsi="宋体" w:cs="宋体"/>
                                            <w:b/>
                                            <w:bCs/>
                                            <w:kern w:val="0"/>
                                            <w:szCs w:val="21"/>
                                          </w:rPr>
                                          <w:t>（（质监、财政、旅委、商务、交通等）</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5.05pt;margin-top:5.3pt;height:66.45pt;width:224.6pt;z-index:251716608;mso-width-relative:page;mso-height-relative:page;" fillcolor="#FFFFFF" filled="t" stroked="t" coordsize="21600,21600" o:gfxdata="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kRXk2AAAAAsBAAAPAAAAAAAAAAEAIAAAACIAAABkcnMv&#10;ZG93bnJldi54bWxQSwECFAAUAAAACACHTuJAbUH+aTwCAACCBAAADgAAAAAAAAABACAAAAAnAQAA&#10;ZHJzL2Uyb0RvYy54bWxQSwUGAAAAAAYABgBZAQAA1QUAAAAA&#10;">
                            <v:fill on="t" focussize="0,0"/>
                            <v:stroke color="#000000" miterlimit="8" joinstyle="miter"/>
                            <v:imagedata o:title=""/>
                            <o:lock v:ext="edit" aspectratio="f"/>
                            <v:textbox>
                              <w:txbxContent>
                                <w:p>
                                  <w:pPr>
                                    <w:widowControl/>
                                    <w:adjustRightInd w:val="0"/>
                                    <w:snapToGrid w:val="0"/>
                                    <w:ind w:firstLine="5565" w:firstLineChars="2650"/>
                                    <w:jc w:val="center"/>
                                    <w:rPr>
                                      <w:rFonts w:ascii="宋体" w:hAnsi="宋体" w:cs="宋体"/>
                                      <w:b/>
                                      <w:bCs/>
                                      <w:kern w:val="0"/>
                                      <w:szCs w:val="21"/>
                                    </w:rPr>
                                  </w:pPr>
                                  <w:r>
                                    <w:rPr>
                                      <w:rFonts w:hint="eastAsia" w:ascii="宋体" w:hAnsi="宋体" w:cs="宋体"/>
                                      <w:kern w:val="0"/>
                                      <w:szCs w:val="21"/>
                                    </w:rPr>
                                    <w:t>领</w:t>
                                  </w:r>
                                  <w:r>
                                    <w:rPr>
                                      <w:rFonts w:hint="eastAsia" w:ascii="宋体" w:hAnsi="宋体" w:cs="宋体"/>
                                      <w:b/>
                                      <w:bCs/>
                                      <w:kern w:val="0"/>
                                      <w:szCs w:val="21"/>
                                    </w:rPr>
                                    <w:t>领导小组办公室</w:t>
                                  </w:r>
                                </w:p>
                                <w:p>
                                  <w:pPr>
                                    <w:widowControl/>
                                    <w:adjustRightInd w:val="0"/>
                                    <w:snapToGrid w:val="0"/>
                                    <w:ind w:firstLine="4339" w:firstLineChars="2058"/>
                                    <w:jc w:val="center"/>
                                    <w:rPr>
                                      <w:rFonts w:ascii="宋体" w:hAnsi="宋体" w:cs="宋体"/>
                                      <w:b/>
                                      <w:bCs/>
                                      <w:kern w:val="0"/>
                                      <w:szCs w:val="21"/>
                                    </w:rPr>
                                  </w:pPr>
                                  <w:r>
                                    <w:rPr>
                                      <w:rFonts w:hint="eastAsia" w:ascii="宋体" w:hAnsi="宋体" w:cs="宋体"/>
                                      <w:b/>
                                      <w:bCs/>
                                      <w:kern w:val="0"/>
                                      <w:szCs w:val="21"/>
                                    </w:rPr>
                                    <w:t>（（质监、财政、旅委、商务、交通等）</w:t>
                                  </w:r>
                                </w:p>
                                <w:p/>
                              </w:txbxContent>
                            </v:textbox>
                          </v:rect>
                        </w:pict>
                      </mc:Fallback>
                    </mc:AlternateContent>
                  </w:r>
                </w:p>
              </w:tc>
            </w:tr>
          </w:tbl>
          <w:p>
            <w:pPr>
              <w:tabs>
                <w:tab w:val="left" w:pos="9940"/>
              </w:tabs>
              <w:jc w:val="left"/>
              <w:rPr>
                <w:rFonts w:ascii="宋体" w:hAnsi="宋体" w:eastAsia="宋体" w:cs="宋体"/>
                <w:b/>
                <w:bCs/>
                <w:kern w:val="0"/>
                <w:sz w:val="18"/>
                <w:szCs w:val="18"/>
              </w:rPr>
            </w:pPr>
            <w:r>
              <w:rPr>
                <w:rFonts w:ascii="宋体" w:hAnsi="宋体" w:eastAsia="宋体" w:cs="宋体"/>
                <w:b/>
                <w:bCs/>
                <w:kern w:val="0"/>
                <w:sz w:val="18"/>
                <w:szCs w:val="18"/>
              </w:rPr>
              <w:tab/>
            </w:r>
          </w:p>
          <w:p>
            <w:pPr>
              <w:tabs>
                <w:tab w:val="left" w:pos="9940"/>
              </w:tabs>
              <w:jc w:val="left"/>
              <w:rPr>
                <w:rFonts w:ascii="宋体" w:hAnsi="宋体" w:eastAsia="宋体" w:cs="宋体"/>
                <w:b/>
                <w:bCs/>
                <w:kern w:val="0"/>
                <w:sz w:val="18"/>
                <w:szCs w:val="18"/>
              </w:rPr>
            </w:pPr>
            <w:r>
              <w:rPr>
                <w:rFonts w:ascii="宋体" w:hAnsi="宋体" w:eastAsia="宋体" w:cs="宋体"/>
                <w:b/>
                <w:bCs/>
                <w:kern w:val="0"/>
                <w:sz w:val="18"/>
                <w:szCs w:val="18"/>
              </w:rPr>
              <mc:AlternateContent>
                <mc:Choice Requires="wps">
                  <w:drawing>
                    <wp:anchor distT="0" distB="0" distL="114300" distR="114300" simplePos="0" relativeHeight="251714560" behindDoc="0" locked="0" layoutInCell="1" allowOverlap="1">
                      <wp:simplePos x="0" y="0"/>
                      <wp:positionH relativeFrom="column">
                        <wp:posOffset>5162550</wp:posOffset>
                      </wp:positionH>
                      <wp:positionV relativeFrom="paragraph">
                        <wp:posOffset>318135</wp:posOffset>
                      </wp:positionV>
                      <wp:extent cx="0" cy="257175"/>
                      <wp:effectExtent l="57150" t="12700" r="57150" b="15875"/>
                      <wp:wrapNone/>
                      <wp:docPr id="21555" name="直接连接符 21555"/>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06.5pt;margin-top:25.05pt;height:20.25pt;width:0pt;z-index:251714560;mso-width-relative:page;mso-height-relative:page;" filled="f" stroked="t" coordsize="21600,21600" o:gfxdata="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6jqs9gAAAAJAQAADwAAAAAAAAABACAAAAAiAAAAZHJzL2Rv&#10;d25yZXYueG1sUEsBAhQAFAAAAAgAh07iQGwhkT8BAgAA3wMAAA4AAAAAAAAAAQAgAAAAJwEAAGRy&#10;cy9lMm9Eb2MueG1sUEsFBgAAAAAGAAYAWQEAAJoFAAAAAA==&#10;">
                      <v:fill on="f" focussize="0,0"/>
                      <v:stroke color="#000000" joinstyle="round" endarrow="block"/>
                      <v:imagedata o:title=""/>
                      <o:lock v:ext="edit" aspectratio="f"/>
                    </v:line>
                  </w:pict>
                </mc:Fallback>
              </mc:AlternateConten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4" w:hRule="atLeast"/>
        </w:trPr>
        <w:tc>
          <w:tcPr>
            <w:tcW w:w="5188" w:type="dxa"/>
            <w:gridSpan w:val="12"/>
            <w:tcBorders>
              <w:top w:val="single" w:color="auto" w:sz="4" w:space="0"/>
            </w:tcBorders>
            <w:shd w:val="clear" w:color="auto" w:fill="auto"/>
            <w:noWrap/>
          </w:tcPr>
          <w:p>
            <w:pPr>
              <w:widowControl/>
              <w:jc w:val="left"/>
              <w:rPr>
                <w:rFonts w:ascii="宋体" w:hAnsi="宋体" w:eastAsia="宋体" w:cs="宋体"/>
                <w:b/>
                <w:bCs/>
                <w:kern w:val="0"/>
                <w:sz w:val="18"/>
                <w:szCs w:val="18"/>
              </w:rPr>
            </w:pPr>
          </w:p>
          <w:tbl>
            <w:tblPr>
              <w:tblStyle w:val="15"/>
              <w:tblW w:w="0" w:type="auto"/>
              <w:tblCellSpacing w:w="0" w:type="dxa"/>
              <w:tblInd w:w="0" w:type="dxa"/>
              <w:tblLayout w:type="autofit"/>
              <w:tblCellMar>
                <w:top w:w="0" w:type="dxa"/>
                <w:left w:w="0" w:type="dxa"/>
                <w:bottom w:w="0" w:type="dxa"/>
                <w:right w:w="0" w:type="dxa"/>
              </w:tblCellMar>
            </w:tblPr>
            <w:tblGrid>
              <w:gridCol w:w="4972"/>
            </w:tblGrid>
            <w:tr>
              <w:tblPrEx>
                <w:tblCellMar>
                  <w:top w:w="0" w:type="dxa"/>
                  <w:left w:w="0" w:type="dxa"/>
                  <w:bottom w:w="0" w:type="dxa"/>
                  <w:right w:w="0" w:type="dxa"/>
                </w:tblCellMar>
              </w:tblPrEx>
              <w:trPr>
                <w:trHeight w:val="600" w:hRule="atLeast"/>
                <w:tblCellSpacing w:w="0" w:type="dxa"/>
              </w:trPr>
              <w:tc>
                <w:tcPr>
                  <w:tcW w:w="6840" w:type="dxa"/>
                  <w:tcBorders>
                    <w:top w:val="nil"/>
                    <w:left w:val="nil"/>
                    <w:bottom w:val="nil"/>
                    <w:right w:val="nil"/>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宾馆模块</w:t>
                  </w:r>
                </w:p>
              </w:tc>
            </w:tr>
          </w:tbl>
          <w:p>
            <w:pPr>
              <w:widowControl/>
              <w:jc w:val="left"/>
              <w:rPr>
                <w:rFonts w:ascii="宋体" w:hAnsi="宋体" w:eastAsia="宋体" w:cs="宋体"/>
                <w:b/>
                <w:bCs/>
                <w:kern w:val="0"/>
                <w:sz w:val="18"/>
                <w:szCs w:val="18"/>
              </w:rPr>
            </w:pPr>
          </w:p>
        </w:tc>
        <w:tc>
          <w:tcPr>
            <w:tcW w:w="4016" w:type="dxa"/>
            <w:gridSpan w:val="10"/>
            <w:shd w:val="clear" w:color="auto" w:fill="auto"/>
          </w:tcPr>
          <w:p>
            <w:pPr>
              <w:widowControl/>
              <w:jc w:val="center"/>
              <w:rPr>
                <w:rFonts w:ascii="宋体" w:hAnsi="宋体" w:eastAsia="宋体" w:cs="宋体"/>
                <w:b/>
                <w:bCs/>
                <w:kern w:val="0"/>
                <w:sz w:val="18"/>
                <w:szCs w:val="18"/>
              </w:rPr>
            </w:pP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景区模块</w:t>
            </w:r>
          </w:p>
        </w:tc>
        <w:tc>
          <w:tcPr>
            <w:tcW w:w="1805" w:type="dxa"/>
            <w:gridSpan w:val="5"/>
            <w:shd w:val="clear" w:color="auto" w:fill="auto"/>
          </w:tcPr>
          <w:p>
            <w:pPr>
              <w:widowControl/>
              <w:jc w:val="center"/>
              <w:rPr>
                <w:rFonts w:ascii="宋体" w:hAnsi="宋体" w:eastAsia="宋体" w:cs="宋体"/>
                <w:b/>
                <w:bCs/>
                <w:kern w:val="0"/>
                <w:sz w:val="18"/>
                <w:szCs w:val="18"/>
              </w:rPr>
            </w:pP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交通模块</w:t>
            </w:r>
          </w:p>
        </w:tc>
        <w:tc>
          <w:tcPr>
            <w:tcW w:w="1322" w:type="dxa"/>
            <w:gridSpan w:val="4"/>
            <w:shd w:val="clear" w:color="auto" w:fill="auto"/>
          </w:tcPr>
          <w:p>
            <w:pPr>
              <w:widowControl/>
              <w:jc w:val="center"/>
              <w:rPr>
                <w:rFonts w:ascii="宋体" w:hAnsi="宋体" w:eastAsia="宋体" w:cs="宋体"/>
                <w:b/>
                <w:bCs/>
                <w:kern w:val="0"/>
                <w:sz w:val="18"/>
                <w:szCs w:val="18"/>
              </w:rPr>
            </w:pP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购物模块</w:t>
            </w:r>
          </w:p>
        </w:tc>
        <w:tc>
          <w:tcPr>
            <w:tcW w:w="3821" w:type="dxa"/>
            <w:gridSpan w:val="9"/>
            <w:shd w:val="clear" w:color="auto" w:fill="auto"/>
          </w:tcPr>
          <w:p>
            <w:pPr>
              <w:widowControl/>
              <w:jc w:val="left"/>
              <w:rPr>
                <w:rFonts w:hint="eastAsia" w:ascii="宋体" w:hAnsi="宋体" w:eastAsia="宋体" w:cs="宋体"/>
                <w:b/>
                <w:bCs/>
                <w:kern w:val="0"/>
                <w:sz w:val="18"/>
                <w:szCs w:val="18"/>
              </w:rPr>
            </w:pPr>
          </w:p>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旅行社模块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6152" w:type="dxa"/>
            <w:gridSpan w:val="40"/>
            <w:tcBorders>
              <w:left w:val="nil"/>
              <w:right w:val="nil"/>
            </w:tcBorders>
            <w:shd w:val="clear" w:color="auto" w:fill="auto"/>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mc:AlternateContent>
                <mc:Choice Requires="wps">
                  <w:drawing>
                    <wp:anchor distT="0" distB="0" distL="114300" distR="114300" simplePos="0" relativeHeight="251709440" behindDoc="0" locked="0" layoutInCell="1" allowOverlap="1">
                      <wp:simplePos x="0" y="0"/>
                      <wp:positionH relativeFrom="column">
                        <wp:posOffset>4658995</wp:posOffset>
                      </wp:positionH>
                      <wp:positionV relativeFrom="paragraph">
                        <wp:posOffset>12700</wp:posOffset>
                      </wp:positionV>
                      <wp:extent cx="9525" cy="333375"/>
                      <wp:effectExtent l="52070" t="13335" r="52705" b="24765"/>
                      <wp:wrapNone/>
                      <wp:docPr id="21553" name="直接连接符 21553"/>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66.85pt;margin-top:1pt;height:26.25pt;width:0.75pt;z-index:251709440;mso-width-relative:page;mso-height-relative:page;" filled="f" stroked="t" coordsize="21600,21600" o:gfxdata="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OFvTaAAAACAEAAA8AAAAAAAAAAQAgAAAAIgAAAGRycy9k&#10;b3ducmV2LnhtbFBLAQIUABQAAAAIAIdO4kD/NdPwAAIAAOIDAAAOAAAAAAAAAAEAIAAAACkBAABk&#10;cnMvZTJvRG9jLnhtbFBLBQYAAAAABgAGAFkBAACbBQAAAAA=&#10;">
                      <v:fill on="f" focussize="0,0"/>
                      <v:stroke color="#000000" joinstyle="round" endarrow="block"/>
                      <v:imagedata o:title=""/>
                      <o:lock v:ext="edit" aspectratio="f"/>
                    </v:line>
                  </w:pict>
                </mc:Fallback>
              </mc:AlternateContent>
            </w:r>
            <w:r>
              <w:rPr>
                <w:rFonts w:ascii="宋体" w:hAnsi="宋体" w:eastAsia="宋体" w:cs="宋体"/>
                <w:b/>
                <w:bCs/>
                <w:kern w:val="0"/>
                <w:sz w:val="18"/>
                <w:szCs w:val="18"/>
              </w:rPr>
              <mc:AlternateContent>
                <mc:Choice Requires="wps">
                  <w:drawing>
                    <wp:anchor distT="0" distB="0" distL="114300" distR="114300" simplePos="0" relativeHeight="251710464" behindDoc="0" locked="0" layoutInCell="1" allowOverlap="1">
                      <wp:simplePos x="0" y="0"/>
                      <wp:positionH relativeFrom="column">
                        <wp:posOffset>6376670</wp:posOffset>
                      </wp:positionH>
                      <wp:positionV relativeFrom="paragraph">
                        <wp:posOffset>11430</wp:posOffset>
                      </wp:positionV>
                      <wp:extent cx="0" cy="390525"/>
                      <wp:effectExtent l="55245" t="9525" r="59055" b="19050"/>
                      <wp:wrapNone/>
                      <wp:docPr id="21551" name="直接连接符 21551"/>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02.1pt;margin-top:0.9pt;height:30.75pt;width:0pt;z-index:251710464;mso-width-relative:page;mso-height-relative:page;" filled="f" stroked="t" coordsize="21600,21600" o:gfxdata="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7f2GLYAAAACgEAAA8AAAAAAAAAAQAgAAAAIgAAAGRycy9kb3du&#10;cmV2LnhtbFBLAQIUABQAAAAIAIdO4kBG4CZi/wEAAN8DAAAOAAAAAAAAAAEAIAAAACcBAABkcnMv&#10;ZTJvRG9jLnhtbFBLBQYAAAAABgAGAFkBAACYBQAAAAA=&#10;">
                      <v:fill on="f" focussize="0,0"/>
                      <v:stroke color="#000000" joinstyle="round" endarrow="block"/>
                      <v:imagedata o:title=""/>
                      <o:lock v:ext="edit" aspectratio="f"/>
                    </v:line>
                  </w:pict>
                </mc:Fallback>
              </mc:AlternateContent>
            </w:r>
            <w:r>
              <w:rPr>
                <w:rFonts w:ascii="宋体" w:hAnsi="宋体" w:eastAsia="宋体" w:cs="宋体"/>
                <w:b/>
                <w:bCs/>
                <w:kern w:val="0"/>
                <w:sz w:val="18"/>
                <w:szCs w:val="18"/>
              </w:rPr>
              <mc:AlternateContent>
                <mc:Choice Requires="wps">
                  <w:drawing>
                    <wp:anchor distT="0" distB="0" distL="114300" distR="114300" simplePos="0" relativeHeight="251711488" behindDoc="0" locked="0" layoutInCell="1" allowOverlap="1">
                      <wp:simplePos x="0" y="0"/>
                      <wp:positionH relativeFrom="column">
                        <wp:posOffset>7410450</wp:posOffset>
                      </wp:positionH>
                      <wp:positionV relativeFrom="paragraph">
                        <wp:posOffset>13335</wp:posOffset>
                      </wp:positionV>
                      <wp:extent cx="9525" cy="361950"/>
                      <wp:effectExtent l="47625" t="5080" r="57150" b="23495"/>
                      <wp:wrapNone/>
                      <wp:docPr id="21554" name="直接连接符 21554"/>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83.5pt;margin-top:1.05pt;height:28.5pt;width:0.75pt;z-index:251711488;mso-width-relative:page;mso-height-relative:page;" filled="f" stroked="t" coordsize="21600,21600" o:gfxdata="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clOG2gAAAAoBAAAPAAAAAAAAAAEAIAAAACIAAABkcnMv&#10;ZG93bnJldi54bWxQSwECFAAUAAAACACHTuJApMc8igECAADiAwAADgAAAAAAAAABACAAAAApAQAA&#10;ZHJzL2Uyb0RvYy54bWxQSwUGAAAAAAYABgBZAQAAnAUAAAAA&#10;">
                      <v:fill on="f" focussize="0,0"/>
                      <v:stroke color="#000000" joinstyle="round" endarrow="block"/>
                      <v:imagedata o:title=""/>
                      <o:lock v:ext="edit" aspectratio="f"/>
                    </v:line>
                  </w:pict>
                </mc:Fallback>
              </mc:AlternateContent>
            </w:r>
            <w:r>
              <w:rPr>
                <w:rFonts w:ascii="宋体" w:hAnsi="宋体" w:eastAsia="宋体" w:cs="宋体"/>
                <w:b/>
                <w:bCs/>
                <w:kern w:val="0"/>
                <w:sz w:val="18"/>
                <w:szCs w:val="18"/>
              </w:rPr>
              <mc:AlternateContent>
                <mc:Choice Requires="wps">
                  <w:drawing>
                    <wp:anchor distT="0" distB="0" distL="114300" distR="114300" simplePos="0" relativeHeight="251712512" behindDoc="0" locked="0" layoutInCell="1" allowOverlap="1">
                      <wp:simplePos x="0" y="0"/>
                      <wp:positionH relativeFrom="column">
                        <wp:posOffset>9107170</wp:posOffset>
                      </wp:positionH>
                      <wp:positionV relativeFrom="paragraph">
                        <wp:posOffset>39370</wp:posOffset>
                      </wp:positionV>
                      <wp:extent cx="0" cy="381000"/>
                      <wp:effectExtent l="55245" t="6350" r="59055" b="22225"/>
                      <wp:wrapNone/>
                      <wp:docPr id="21550" name="直接连接符 21550"/>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17.1pt;margin-top:3.1pt;height:30pt;width:0pt;z-index:251712512;mso-width-relative:page;mso-height-relative:page;" filled="f" stroked="t" coordsize="21600,21600" o:gfxdata="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ebJNcAAAAKAQAADwAAAAAAAAABACAAAAAiAAAAZHJzL2Rv&#10;d25yZXYueG1sUEsBAhQAFAAAAAgAh07iQIrqLmMCAgAA3wMAAA4AAAAAAAAAAQAgAAAAJgEAAGRy&#10;cy9lMm9Eb2MueG1sUEsFBgAAAAAGAAYAWQEAAJoFAAAAAA==&#10;">
                      <v:fill on="f" focussize="0,0"/>
                      <v:stroke color="#000000" joinstyle="round" endarrow="block"/>
                      <v:imagedata o:title=""/>
                      <o:lock v:ext="edit" aspectratio="f"/>
                    </v:line>
                  </w:pict>
                </mc:Fallback>
              </mc:AlternateContent>
            </w:r>
            <w:r>
              <w:rPr>
                <w:rFonts w:ascii="宋体" w:hAnsi="宋体" w:eastAsia="宋体" w:cs="宋体"/>
                <w:b/>
                <w:bCs/>
                <w:kern w:val="0"/>
                <w:sz w:val="18"/>
                <w:szCs w:val="18"/>
              </w:rPr>
              <mc:AlternateContent>
                <mc:Choice Requires="wps">
                  <w:drawing>
                    <wp:anchor distT="0" distB="0" distL="114300" distR="114300" simplePos="0" relativeHeight="251708416" behindDoc="0" locked="0" layoutInCell="1" allowOverlap="1">
                      <wp:simplePos x="0" y="0"/>
                      <wp:positionH relativeFrom="column">
                        <wp:posOffset>1499870</wp:posOffset>
                      </wp:positionH>
                      <wp:positionV relativeFrom="paragraph">
                        <wp:posOffset>11430</wp:posOffset>
                      </wp:positionV>
                      <wp:extent cx="0" cy="342900"/>
                      <wp:effectExtent l="55245" t="9525" r="59055" b="19050"/>
                      <wp:wrapNone/>
                      <wp:docPr id="21552" name="直接连接符 21552"/>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8.1pt;margin-top:0.9pt;height:27pt;width:0pt;z-index:251708416;mso-width-relative:page;mso-height-relative:page;" filled="f" stroked="t" coordsize="21600,21600" o:gfxdata="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Qp0a1gAAAAgBAAAPAAAAAAAAAAEAIAAAACIAAABkcnMvZG93&#10;bnJldi54bWxQSwECFAAUAAAACACHTuJArQ0s/QICAADfAwAADgAAAAAAAAABACAAAAAlAQAAZHJz&#10;L2Uyb0RvYy54bWxQSwUGAAAAAAYABgBZAQAAmQUAAAAA&#10;">
                      <v:fill on="f" focussize="0,0"/>
                      <v:stroke color="#000000" joinstyle="round" endarrow="block"/>
                      <v:imagedata o:title=""/>
                      <o:lock v:ext="edit" aspectratio="f"/>
                    </v:line>
                  </w:pict>
                </mc:Fallback>
              </mc:AlternateConten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5100" w:type="dxa"/>
            <w:gridSpan w:val="11"/>
            <w:shd w:val="clear" w:color="auto" w:fill="auto"/>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餐饮、住宿、娱乐</w:t>
            </w:r>
          </w:p>
        </w:tc>
        <w:tc>
          <w:tcPr>
            <w:tcW w:w="4104" w:type="dxa"/>
            <w:gridSpan w:val="11"/>
            <w:shd w:val="clear" w:color="auto" w:fill="auto"/>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自然景观、人文景观</w:t>
            </w:r>
          </w:p>
        </w:tc>
        <w:tc>
          <w:tcPr>
            <w:tcW w:w="1805" w:type="dxa"/>
            <w:gridSpan w:val="5"/>
            <w:shd w:val="clear" w:color="auto" w:fill="auto"/>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索道、新国线</w:t>
            </w:r>
          </w:p>
        </w:tc>
        <w:tc>
          <w:tcPr>
            <w:tcW w:w="1322" w:type="dxa"/>
            <w:gridSpan w:val="4"/>
            <w:shd w:val="clear" w:color="auto" w:fill="auto"/>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景区购物</w:t>
            </w:r>
          </w:p>
        </w:tc>
        <w:tc>
          <w:tcPr>
            <w:tcW w:w="3821" w:type="dxa"/>
            <w:gridSpan w:val="9"/>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国内社、国际社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98" w:hRule="atLeast"/>
        </w:trPr>
        <w:tc>
          <w:tcPr>
            <w:tcW w:w="856"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西海饭店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北海宾馆</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狮林大酒店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排云楼宾馆</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云谷山庄</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白云宾馆</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玉屏楼宾馆</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汤泉大酒店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国际大酒店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华山宾馆</w:t>
            </w:r>
          </w:p>
        </w:tc>
        <w:tc>
          <w:tcPr>
            <w:tcW w:w="457" w:type="dxa"/>
            <w:gridSpan w:val="3"/>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徽商故里大酒店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轩辕国际大酒店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汤口宾馆</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环球大酒店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东黄山</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披云山庄</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牯牛降大酒店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状元故里大酒店</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花山迷窟</w:t>
            </w:r>
          </w:p>
        </w:tc>
        <w:tc>
          <w:tcPr>
            <w:tcW w:w="457" w:type="dxa"/>
            <w:gridSpan w:val="2"/>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黄山景区园林公司</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翡翠谷</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齐云山</w:t>
            </w:r>
          </w:p>
        </w:tc>
        <w:tc>
          <w:tcPr>
            <w:tcW w:w="452"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太平湖景区</w:t>
            </w:r>
          </w:p>
        </w:tc>
        <w:tc>
          <w:tcPr>
            <w:tcW w:w="444" w:type="dxa"/>
            <w:gridSpan w:val="2"/>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西递景区</w:t>
            </w:r>
          </w:p>
        </w:tc>
        <w:tc>
          <w:tcPr>
            <w:tcW w:w="448"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宏村景区京黟公司</w:t>
            </w:r>
          </w:p>
        </w:tc>
        <w:tc>
          <w:tcPr>
            <w:tcW w:w="45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古城景区</w:t>
            </w:r>
          </w:p>
        </w:tc>
        <w:tc>
          <w:tcPr>
            <w:tcW w:w="426" w:type="dxa"/>
            <w:gridSpan w:val="2"/>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山越风情</w:t>
            </w:r>
          </w:p>
        </w:tc>
        <w:tc>
          <w:tcPr>
            <w:tcW w:w="438"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云谷索道</w:t>
            </w:r>
          </w:p>
        </w:tc>
        <w:tc>
          <w:tcPr>
            <w:tcW w:w="426"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太平索道</w:t>
            </w:r>
          </w:p>
        </w:tc>
        <w:tc>
          <w:tcPr>
            <w:tcW w:w="426"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玉屏楼索道</w:t>
            </w:r>
          </w:p>
        </w:tc>
        <w:tc>
          <w:tcPr>
            <w:tcW w:w="426"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新国线</w:t>
            </w:r>
          </w:p>
        </w:tc>
        <w:tc>
          <w:tcPr>
            <w:tcW w:w="41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屯溪老街</w:t>
            </w:r>
          </w:p>
        </w:tc>
        <w:tc>
          <w:tcPr>
            <w:tcW w:w="426"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华媛超市</w:t>
            </w:r>
          </w:p>
        </w:tc>
        <w:tc>
          <w:tcPr>
            <w:tcW w:w="417"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翠林苑</w:t>
            </w:r>
          </w:p>
        </w:tc>
        <w:tc>
          <w:tcPr>
            <w:tcW w:w="496" w:type="dxa"/>
            <w:shd w:val="clear" w:color="auto" w:fill="auto"/>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中海国际旅行社</w:t>
            </w:r>
          </w:p>
        </w:tc>
      </w:tr>
    </w:tbl>
    <w:p>
      <w:pPr>
        <w:jc w:val="center"/>
        <w:rPr>
          <w:b/>
          <w:sz w:val="18"/>
          <w:szCs w:val="18"/>
        </w:rPr>
      </w:pPr>
      <w:r>
        <w:rPr>
          <w:rFonts w:hint="eastAsia"/>
          <w:b/>
          <w:sz w:val="18"/>
          <w:szCs w:val="18"/>
        </w:rPr>
        <w:t>黄山市旅游服务标准体系结构图</w:t>
      </w:r>
    </w:p>
    <w:p>
      <w:pPr>
        <w:rPr>
          <w:sz w:val="18"/>
          <w:szCs w:val="18"/>
        </w:rPr>
      </w:pPr>
    </w:p>
    <w:p>
      <w:pPr>
        <w:rPr>
          <w:sz w:val="18"/>
          <w:szCs w:val="18"/>
        </w:rPr>
      </w:pPr>
    </w:p>
    <w:p>
      <w:pPr>
        <w:rPr>
          <w:sz w:val="18"/>
          <w:szCs w:val="18"/>
        </w:rPr>
      </w:pPr>
    </w:p>
    <w:p>
      <w:pPr>
        <w:jc w:val="center"/>
        <w:rPr>
          <w:sz w:val="36"/>
          <w:szCs w:val="36"/>
        </w:rPr>
      </w:pPr>
      <w:r>
        <w:rPr>
          <w:rFonts w:hint="eastAsia" w:ascii="黑体" w:hAnsi="黑体" w:eastAsia="黑体"/>
          <w:bCs/>
          <w:sz w:val="32"/>
          <w:szCs w:val="32"/>
        </w:rPr>
        <mc:AlternateContent>
          <mc:Choice Requires="wps">
            <w:drawing>
              <wp:anchor distT="0" distB="0" distL="114300" distR="114300" simplePos="0" relativeHeight="251705344" behindDoc="0" locked="0" layoutInCell="1" allowOverlap="1">
                <wp:simplePos x="0" y="0"/>
                <wp:positionH relativeFrom="column">
                  <wp:posOffset>6000750</wp:posOffset>
                </wp:positionH>
                <wp:positionV relativeFrom="paragraph">
                  <wp:posOffset>4754880</wp:posOffset>
                </wp:positionV>
                <wp:extent cx="0" cy="297180"/>
                <wp:effectExtent l="57150" t="16510" r="57150" b="10160"/>
                <wp:wrapNone/>
                <wp:docPr id="21549" name="直接连接符 21549"/>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472.5pt;margin-top:374.4pt;height:23.4pt;width:0pt;z-index:251705344;mso-width-relative:page;mso-height-relative:page;" filled="f" stroked="t" coordsize="21600,21600" o:gfxdata="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8gcA2QAAAAsBAAAPAAAAAAAAAAEAIAAAACIA&#10;AABkcnMvZG93bnJldi54bWxQSwECFAAUAAAACACHTuJATAqBJQgCAADpAwAADgAAAAAAAAABACAA&#10;AAAoAQAAZHJzL2Uyb0RvYy54bWxQSwUGAAAAAAYABgBZAQAAog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702272" behindDoc="0" locked="0" layoutInCell="1" allowOverlap="1">
                <wp:simplePos x="0" y="0"/>
                <wp:positionH relativeFrom="column">
                  <wp:posOffset>3133725</wp:posOffset>
                </wp:positionH>
                <wp:positionV relativeFrom="paragraph">
                  <wp:posOffset>4754880</wp:posOffset>
                </wp:positionV>
                <wp:extent cx="0" cy="297180"/>
                <wp:effectExtent l="57150" t="16510" r="57150" b="10160"/>
                <wp:wrapNone/>
                <wp:docPr id="21548" name="直接连接符 21548"/>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46.75pt;margin-top:374.4pt;height:23.4pt;width:0pt;z-index:251702272;mso-width-relative:page;mso-height-relative:page;" filled="f" stroked="t" coordsize="21600,21600" o:gfxdata="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utV2QAAAAsBAAAPAAAAAAAAAAEAIAAAACIA&#10;AABkcnMvZG93bnJldi54bWxQSwECFAAUAAAACACHTuJA7JwF2AgCAADpAwAADgAAAAAAAAABACAA&#10;AAAoAQAAZHJzL2Uyb0RvYy54bWxQSwUGAAAAAAYABgBZAQAAog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4754880</wp:posOffset>
                </wp:positionV>
                <wp:extent cx="0" cy="297180"/>
                <wp:effectExtent l="57150" t="16510" r="57150" b="10160"/>
                <wp:wrapNone/>
                <wp:docPr id="21547" name="直接连接符 21547"/>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15pt;margin-top:374.4pt;height:23.4pt;width:0pt;z-index:251703296;mso-width-relative:page;mso-height-relative:page;" filled="f" stroked="t" coordsize="21600,21600" o:gfxdata="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DawwtkAAAALAQAADwAAAAAAAAABACAAAAAi&#10;AAAAZHJzL2Rvd25yZXYueG1sUEsBAhQAFAAAAAgAh07iQEvb6cQJAgAA6QMAAA4AAAAAAAAAAQAg&#10;AAAAKAEAAGRycy9lMm9Eb2MueG1sUEsFBgAAAAAGAAYAWQEAAKMFA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704320" behindDoc="0" locked="0" layoutInCell="1" allowOverlap="1">
                <wp:simplePos x="0" y="0"/>
                <wp:positionH relativeFrom="column">
                  <wp:posOffset>5133975</wp:posOffset>
                </wp:positionH>
                <wp:positionV relativeFrom="paragraph">
                  <wp:posOffset>4754880</wp:posOffset>
                </wp:positionV>
                <wp:extent cx="0" cy="297180"/>
                <wp:effectExtent l="57150" t="16510" r="57150" b="10160"/>
                <wp:wrapNone/>
                <wp:docPr id="21546" name="直接连接符 21546"/>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404.25pt;margin-top:374.4pt;height:23.4pt;width:0pt;z-index:251704320;mso-width-relative:page;mso-height-relative:page;" filled="f" stroked="t" coordsize="21600,21600" o:gfxdata="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Oq2AAAAAsBAAAPAAAAAAAAAAEAIAAAACIA&#10;AABkcnMvZG93bnJldi54bWxQSwECFAAUAAAACACHTuJA601tOQkCAADpAwAADgAAAAAAAAABACAA&#10;AAAnAQAAZHJzL2Uyb0RvYy54bWxQSwUGAAAAAAYABgBZAQAAog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72576" behindDoc="0" locked="0" layoutInCell="1" allowOverlap="1">
                <wp:simplePos x="0" y="0"/>
                <wp:positionH relativeFrom="column">
                  <wp:posOffset>7534275</wp:posOffset>
                </wp:positionH>
                <wp:positionV relativeFrom="paragraph">
                  <wp:posOffset>3070860</wp:posOffset>
                </wp:positionV>
                <wp:extent cx="666750" cy="1684020"/>
                <wp:effectExtent l="9525" t="8890" r="9525" b="12065"/>
                <wp:wrapNone/>
                <wp:docPr id="21545" name="矩形 21545"/>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LX-G</w:t>
                            </w:r>
                          </w:p>
                          <w:p>
                            <w:pPr>
                              <w:jc w:val="center"/>
                              <w:rPr>
                                <w:sz w:val="24"/>
                              </w:rPr>
                            </w:pPr>
                            <w:r>
                              <w:rPr>
                                <w:rFonts w:hint="eastAsia"/>
                                <w:sz w:val="24"/>
                              </w:rPr>
                              <w:t>服务提供标准体系</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93.25pt;margin-top:241.8pt;height:132.6pt;width:52.5pt;z-index:251672576;mso-width-relative:page;mso-height-relative:page;" fillcolor="#FFFFFF" filled="t" stroked="t" coordsize="21600,21600" o:gfxdata="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0oUSdoAAAANAQAADwAAAAAAAAABACAAAAAiAAAA&#10;ZHJzL2Rvd25yZXYueG1sUEsBAhQAFAAAAAgAh07iQOL00yg+AgAAggQAAA4AAAAAAAAAAQAgAAAA&#10;KQEAAGRycy9lMm9Eb2MueG1sUEsFBgAAAAAGAAYAWQEAANkFAAAAAA==&#10;">
                <v:fill on="t" focussize="0,0"/>
                <v:stroke color="#000000" miterlimit="8" joinstyle="miter"/>
                <v:imagedata o:title=""/>
                <o:lock v:ext="edit" aspectratio="f"/>
                <v:textbox>
                  <w:txbxContent>
                    <w:p>
                      <w:pPr>
                        <w:jc w:val="center"/>
                        <w:rPr>
                          <w:sz w:val="24"/>
                        </w:rPr>
                      </w:pPr>
                      <w:r>
                        <w:rPr>
                          <w:rFonts w:hint="eastAsia"/>
                          <w:sz w:val="24"/>
                        </w:rPr>
                        <w:t>LX-G</w:t>
                      </w:r>
                    </w:p>
                    <w:p>
                      <w:pPr>
                        <w:jc w:val="center"/>
                        <w:rPr>
                          <w:sz w:val="24"/>
                        </w:rPr>
                      </w:pPr>
                      <w:r>
                        <w:rPr>
                          <w:rFonts w:hint="eastAsia"/>
                          <w:sz w:val="24"/>
                        </w:rPr>
                        <w:t>服务提供标准体系</w:t>
                      </w:r>
                    </w:p>
                    <w:p>
                      <w:pPr>
                        <w:jc w:val="center"/>
                        <w:rPr>
                          <w:sz w:val="24"/>
                        </w:rPr>
                      </w:pPr>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673600" behindDoc="0" locked="0" layoutInCell="1" allowOverlap="1">
                <wp:simplePos x="0" y="0"/>
                <wp:positionH relativeFrom="column">
                  <wp:posOffset>6600825</wp:posOffset>
                </wp:positionH>
                <wp:positionV relativeFrom="paragraph">
                  <wp:posOffset>3070860</wp:posOffset>
                </wp:positionV>
                <wp:extent cx="666750" cy="1684020"/>
                <wp:effectExtent l="9525" t="8890" r="9525" b="12065"/>
                <wp:wrapNone/>
                <wp:docPr id="21544" name="矩形 21544"/>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LX-B</w:t>
                            </w:r>
                          </w:p>
                          <w:p>
                            <w:pPr>
                              <w:jc w:val="center"/>
                              <w:rPr>
                                <w:sz w:val="24"/>
                              </w:rPr>
                            </w:pPr>
                            <w:r>
                              <w:rPr>
                                <w:rFonts w:hint="eastAsia"/>
                                <w:sz w:val="24"/>
                              </w:rPr>
                              <w:t>服务保障标准体系</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9.75pt;margin-top:241.8pt;height:132.6pt;width:52.5pt;z-index:251673600;mso-width-relative:page;mso-height-relative:page;" fillcolor="#FFFFFF" filled="t" stroked="t" coordsize="21600,21600" o:gfxdata="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xkctoAAAANAQAADwAAAAAAAAABACAAAAAiAAAA&#10;ZHJzL2Rvd25yZXYueG1sUEsBAhQAFAAAAAgAh07iQAP6vMI+AgAAggQAAA4AAAAAAAAAAQAgAAAA&#10;KQEAAGRycy9lMm9Eb2MueG1sUEsFBgAAAAAGAAYAWQEAANkFAAAAAA==&#10;">
                <v:fill on="t" focussize="0,0"/>
                <v:stroke color="#000000" miterlimit="8" joinstyle="miter"/>
                <v:imagedata o:title=""/>
                <o:lock v:ext="edit" aspectratio="f"/>
                <v:textbox>
                  <w:txbxContent>
                    <w:p>
                      <w:pPr>
                        <w:jc w:val="center"/>
                        <w:rPr>
                          <w:sz w:val="24"/>
                        </w:rPr>
                      </w:pPr>
                      <w:r>
                        <w:rPr>
                          <w:rFonts w:hint="eastAsia"/>
                          <w:sz w:val="24"/>
                        </w:rPr>
                        <w:t>LX-B</w:t>
                      </w:r>
                    </w:p>
                    <w:p>
                      <w:pPr>
                        <w:jc w:val="center"/>
                        <w:rPr>
                          <w:sz w:val="24"/>
                        </w:rPr>
                      </w:pPr>
                      <w:r>
                        <w:rPr>
                          <w:rFonts w:hint="eastAsia"/>
                          <w:sz w:val="24"/>
                        </w:rPr>
                        <w:t>服务保障标准体系</w:t>
                      </w:r>
                    </w:p>
                    <w:p>
                      <w:pPr>
                        <w:jc w:val="center"/>
                        <w:rPr>
                          <w:sz w:val="24"/>
                        </w:rPr>
                      </w:pPr>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674624" behindDoc="0" locked="0" layoutInCell="1" allowOverlap="1">
                <wp:simplePos x="0" y="0"/>
                <wp:positionH relativeFrom="column">
                  <wp:posOffset>5667375</wp:posOffset>
                </wp:positionH>
                <wp:positionV relativeFrom="paragraph">
                  <wp:posOffset>3070860</wp:posOffset>
                </wp:positionV>
                <wp:extent cx="666750" cy="1684020"/>
                <wp:effectExtent l="9525" t="8890" r="9525" b="12065"/>
                <wp:wrapNone/>
                <wp:docPr id="21543" name="矩形 21543"/>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JT-G</w:t>
                            </w:r>
                          </w:p>
                          <w:p>
                            <w:pPr>
                              <w:jc w:val="center"/>
                            </w:pPr>
                            <w:r>
                              <w:rPr>
                                <w:rFonts w:hint="eastAsia"/>
                                <w:sz w:val="24"/>
                              </w:rPr>
                              <w:t>服务提供标准体系</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6.25pt;margin-top:241.8pt;height:132.6pt;width:52.5pt;z-index:251674624;mso-width-relative:page;mso-height-relative:page;" fillcolor="#FFFFFF" filled="t" stroked="t" coordsize="21600,21600" o:gfxdata="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TZNzdoAAAALAQAADwAAAAAAAAABACAAAAAiAAAA&#10;ZHJzL2Rvd25yZXYueG1sUEsBAhQAFAAAAAgAh07iQGfYIjg+AgAAggQAAA4AAAAAAAAAAQAgAAAA&#10;KQEAAGRycy9lMm9Eb2MueG1sUEsFBgAAAAAGAAYAWQEAANkFAAAAAA==&#10;">
                <v:fill on="t" focussize="0,0"/>
                <v:stroke color="#000000" miterlimit="8" joinstyle="miter"/>
                <v:imagedata o:title=""/>
                <o:lock v:ext="edit" aspectratio="f"/>
                <v:textbox>
                  <w:txbxContent>
                    <w:p>
                      <w:pPr>
                        <w:jc w:val="center"/>
                        <w:rPr>
                          <w:sz w:val="24"/>
                        </w:rPr>
                      </w:pPr>
                      <w:r>
                        <w:rPr>
                          <w:rFonts w:hint="eastAsia"/>
                          <w:sz w:val="24"/>
                        </w:rPr>
                        <w:t>JT-G</w:t>
                      </w:r>
                    </w:p>
                    <w:p>
                      <w:pPr>
                        <w:jc w:val="center"/>
                      </w:pPr>
                      <w:r>
                        <w:rPr>
                          <w:rFonts w:hint="eastAsia"/>
                          <w:sz w:val="24"/>
                        </w:rPr>
                        <w:t>服务提供标准体系</w:t>
                      </w:r>
                    </w:p>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675648" behindDoc="0" locked="0" layoutInCell="1" allowOverlap="1">
                <wp:simplePos x="0" y="0"/>
                <wp:positionH relativeFrom="column">
                  <wp:posOffset>4800600</wp:posOffset>
                </wp:positionH>
                <wp:positionV relativeFrom="paragraph">
                  <wp:posOffset>3070860</wp:posOffset>
                </wp:positionV>
                <wp:extent cx="666750" cy="1684020"/>
                <wp:effectExtent l="9525" t="8890" r="9525" b="12065"/>
                <wp:wrapNone/>
                <wp:docPr id="21542" name="矩形 21542"/>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JT-B</w:t>
                            </w:r>
                          </w:p>
                          <w:p>
                            <w:pPr>
                              <w:jc w:val="center"/>
                            </w:pPr>
                            <w:r>
                              <w:rPr>
                                <w:rFonts w:hint="eastAsia"/>
                                <w:sz w:val="24"/>
                              </w:rPr>
                              <w:t>服务保障标准体系</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8pt;margin-top:241.8pt;height:132.6pt;width:52.5pt;z-index:251675648;mso-width-relative:page;mso-height-relative:page;" fillcolor="#FFFFFF" filled="t" stroked="t" coordsize="21600,21600" o:gfxdata="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&#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0KG2QAAAAsBAAAPAAAAAAAAAAEAIAAAACIAAABk&#10;cnMvZG93bnJldi54bWxQSwECFAAUAAAACACHTuJAhtZN0j4CAACCBAAADgAAAAAAAAABACAAAAAo&#10;AQAAZHJzL2Uyb0RvYy54bWxQSwUGAAAAAAYABgBZAQAA2AUAAAAA&#10;">
                <v:fill on="t" focussize="0,0"/>
                <v:stroke color="#000000" miterlimit="8" joinstyle="miter"/>
                <v:imagedata o:title=""/>
                <o:lock v:ext="edit" aspectratio="f"/>
                <v:textbox>
                  <w:txbxContent>
                    <w:p>
                      <w:pPr>
                        <w:jc w:val="center"/>
                        <w:rPr>
                          <w:sz w:val="24"/>
                        </w:rPr>
                      </w:pPr>
                      <w:r>
                        <w:rPr>
                          <w:rFonts w:hint="eastAsia"/>
                          <w:sz w:val="24"/>
                        </w:rPr>
                        <w:t>JT-B</w:t>
                      </w:r>
                    </w:p>
                    <w:p>
                      <w:pPr>
                        <w:jc w:val="center"/>
                      </w:pPr>
                      <w:r>
                        <w:rPr>
                          <w:rFonts w:hint="eastAsia"/>
                          <w:sz w:val="24"/>
                        </w:rPr>
                        <w:t>服务保障标准体系</w:t>
                      </w:r>
                    </w:p>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676672" behindDoc="0" locked="0" layoutInCell="1" allowOverlap="1">
                <wp:simplePos x="0" y="0"/>
                <wp:positionH relativeFrom="column">
                  <wp:posOffset>3667125</wp:posOffset>
                </wp:positionH>
                <wp:positionV relativeFrom="paragraph">
                  <wp:posOffset>3070860</wp:posOffset>
                </wp:positionV>
                <wp:extent cx="666750" cy="1684020"/>
                <wp:effectExtent l="9525" t="8890" r="9525" b="12065"/>
                <wp:wrapNone/>
                <wp:docPr id="21541" name="矩形 21541"/>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JQ-G</w:t>
                            </w:r>
                          </w:p>
                          <w:p>
                            <w:pPr>
                              <w:jc w:val="center"/>
                              <w:rPr>
                                <w:sz w:val="24"/>
                              </w:rPr>
                            </w:pPr>
                            <w:r>
                              <w:rPr>
                                <w:rFonts w:hint="eastAsia"/>
                                <w:sz w:val="24"/>
                              </w:rPr>
                              <w:t>服务提供标准体系</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75pt;margin-top:241.8pt;height:132.6pt;width:52.5pt;z-index:251676672;mso-width-relative:page;mso-height-relative:page;" fillcolor="#FFFFFF" filled="t" stroked="t" coordsize="21600,21600" o:gfxdata="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Gw2SNoAAAALAQAADwAAAAAAAAABACAAAAAiAAAA&#10;ZHJzL2Rvd25yZXYueG1sUEsBAhQAFAAAAAgAh07iQOTDjTc+AgAAggQAAA4AAAAAAAAAAQAgAAAA&#10;KQEAAGRycy9lMm9Eb2MueG1sUEsFBgAAAAAGAAYAWQEAANkFAAAAAA==&#10;">
                <v:fill on="t" focussize="0,0"/>
                <v:stroke color="#000000" miterlimit="8" joinstyle="miter"/>
                <v:imagedata o:title=""/>
                <o:lock v:ext="edit" aspectratio="f"/>
                <v:textbox>
                  <w:txbxContent>
                    <w:p>
                      <w:pPr>
                        <w:jc w:val="center"/>
                        <w:rPr>
                          <w:sz w:val="24"/>
                        </w:rPr>
                      </w:pPr>
                      <w:r>
                        <w:rPr>
                          <w:rFonts w:hint="eastAsia"/>
                          <w:sz w:val="24"/>
                        </w:rPr>
                        <w:t>JQ-G</w:t>
                      </w:r>
                    </w:p>
                    <w:p>
                      <w:pPr>
                        <w:jc w:val="center"/>
                        <w:rPr>
                          <w:sz w:val="24"/>
                        </w:rPr>
                      </w:pPr>
                      <w:r>
                        <w:rPr>
                          <w:rFonts w:hint="eastAsia"/>
                          <w:sz w:val="24"/>
                        </w:rPr>
                        <w:t>服务提供标准体系</w:t>
                      </w:r>
                    </w:p>
                    <w:p>
                      <w:pPr>
                        <w:jc w:val="center"/>
                        <w:rPr>
                          <w:sz w:val="24"/>
                        </w:rPr>
                      </w:pPr>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677696" behindDoc="0" locked="0" layoutInCell="1" allowOverlap="1">
                <wp:simplePos x="0" y="0"/>
                <wp:positionH relativeFrom="column">
                  <wp:posOffset>2800350</wp:posOffset>
                </wp:positionH>
                <wp:positionV relativeFrom="paragraph">
                  <wp:posOffset>3070860</wp:posOffset>
                </wp:positionV>
                <wp:extent cx="666750" cy="1684020"/>
                <wp:effectExtent l="9525" t="8890" r="9525" b="12065"/>
                <wp:wrapNone/>
                <wp:docPr id="21540" name="矩形 21540"/>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JQ-B</w:t>
                            </w:r>
                          </w:p>
                          <w:p>
                            <w:pPr>
                              <w:jc w:val="center"/>
                              <w:rPr>
                                <w:sz w:val="24"/>
                              </w:rPr>
                            </w:pPr>
                            <w:r>
                              <w:rPr>
                                <w:rFonts w:hint="eastAsia"/>
                                <w:sz w:val="24"/>
                              </w:rPr>
                              <w:t>服务保障标准体系</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0.5pt;margin-top:241.8pt;height:132.6pt;width:52.5pt;z-index:251677696;mso-width-relative:page;mso-height-relative:page;" fillcolor="#FFFFFF" filled="t" stroked="t" coordsize="21600,21600" o:gfxdata="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x4lPzZAAAACwEAAA8AAAAAAAAAAQAgAAAAIgAAAGRy&#10;cy9kb3ducmV2LnhtbFBLAQIUABQAAAAIAIdO4kAFzeLdPQIAAIIEAAAOAAAAAAAAAAEAIAAAACgB&#10;AABkcnMvZTJvRG9jLnhtbFBLBQYAAAAABgAGAFkBAADXBQAAAAA=&#10;">
                <v:fill on="t" focussize="0,0"/>
                <v:stroke color="#000000" miterlimit="8" joinstyle="miter"/>
                <v:imagedata o:title=""/>
                <o:lock v:ext="edit" aspectratio="f"/>
                <v:textbox>
                  <w:txbxContent>
                    <w:p>
                      <w:pPr>
                        <w:jc w:val="center"/>
                        <w:rPr>
                          <w:sz w:val="24"/>
                        </w:rPr>
                      </w:pPr>
                      <w:r>
                        <w:rPr>
                          <w:rFonts w:hint="eastAsia"/>
                          <w:sz w:val="24"/>
                        </w:rPr>
                        <w:t>JQ-B</w:t>
                      </w:r>
                    </w:p>
                    <w:p>
                      <w:pPr>
                        <w:jc w:val="center"/>
                        <w:rPr>
                          <w:sz w:val="24"/>
                        </w:rPr>
                      </w:pPr>
                      <w:r>
                        <w:rPr>
                          <w:rFonts w:hint="eastAsia"/>
                          <w:sz w:val="24"/>
                        </w:rPr>
                        <w:t>服务保障标准体系</w:t>
                      </w:r>
                    </w:p>
                    <w:p>
                      <w:pPr>
                        <w:jc w:val="center"/>
                        <w:rPr>
                          <w:sz w:val="24"/>
                        </w:rPr>
                      </w:pPr>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701248" behindDoc="0" locked="0" layoutInCell="1" allowOverlap="1">
                <wp:simplePos x="0" y="0"/>
                <wp:positionH relativeFrom="column">
                  <wp:posOffset>2200275</wp:posOffset>
                </wp:positionH>
                <wp:positionV relativeFrom="paragraph">
                  <wp:posOffset>4754880</wp:posOffset>
                </wp:positionV>
                <wp:extent cx="0" cy="297180"/>
                <wp:effectExtent l="57150" t="16510" r="57150" b="10160"/>
                <wp:wrapNone/>
                <wp:docPr id="21539" name="直接连接符 21539"/>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73.25pt;margin-top:374.4pt;height:23.4pt;width:0pt;z-index:251701248;mso-width-relative:page;mso-height-relative:page;" filled="f" stroked="t" coordsize="21600,21600" o:gfxdata="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3K5M2QAAAAsBAAAPAAAAAAAAAAEAIAAAACIA&#10;AABkcnMvZG93bnJldi54bWxQSwECFAAUAAAACACHTuJA9fTDaggCAADpAwAADgAAAAAAAAABACAA&#10;AAAoAQAAZHJzL2Uyb0RvYy54bWxQSwUGAAAAAAYABgBZAQAAog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71552" behindDoc="0" locked="0" layoutInCell="1" allowOverlap="1">
                <wp:simplePos x="0" y="0"/>
                <wp:positionH relativeFrom="column">
                  <wp:posOffset>1866900</wp:posOffset>
                </wp:positionH>
                <wp:positionV relativeFrom="paragraph">
                  <wp:posOffset>3070860</wp:posOffset>
                </wp:positionV>
                <wp:extent cx="666750" cy="1684020"/>
                <wp:effectExtent l="9525" t="8890" r="9525" b="12065"/>
                <wp:wrapNone/>
                <wp:docPr id="21538" name="矩形 21538"/>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BG-G</w:t>
                            </w:r>
                          </w:p>
                          <w:p>
                            <w:pPr>
                              <w:jc w:val="center"/>
                              <w:rPr>
                                <w:sz w:val="24"/>
                              </w:rPr>
                            </w:pPr>
                            <w:r>
                              <w:rPr>
                                <w:rFonts w:hint="eastAsia"/>
                                <w:sz w:val="24"/>
                              </w:rPr>
                              <w:t>服务提供标准体系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7pt;margin-top:241.8pt;height:132.6pt;width:52.5pt;z-index:251671552;mso-width-relative:page;mso-height-relative:page;" fillcolor="#FFFFFF" filled="t" stroked="t" coordsize="21600,21600" o:gfxdata="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Ua9DNoAAAALAQAADwAAAAAAAAABACAAAAAiAAAA&#10;ZHJzL2Rvd25yZXYueG1sUEsBAhQAFAAAAAgAh07iQGqYe6k+AgAAggQAAA4AAAAAAAAAAQAgAAAA&#10;KQEAAGRycy9lMm9Eb2MueG1sUEsFBgAAAAAGAAYAWQEAANkFAAAAAA==&#10;">
                <v:fill on="t" focussize="0,0"/>
                <v:stroke color="#000000" miterlimit="8" joinstyle="miter"/>
                <v:imagedata o:title=""/>
                <o:lock v:ext="edit" aspectratio="f"/>
                <v:textbox>
                  <w:txbxContent>
                    <w:p>
                      <w:pPr>
                        <w:jc w:val="center"/>
                        <w:rPr>
                          <w:sz w:val="24"/>
                        </w:rPr>
                      </w:pPr>
                      <w:r>
                        <w:rPr>
                          <w:rFonts w:hint="eastAsia"/>
                          <w:sz w:val="24"/>
                        </w:rPr>
                        <w:t>BG-G</w:t>
                      </w:r>
                    </w:p>
                    <w:p>
                      <w:pPr>
                        <w:jc w:val="center"/>
                        <w:rPr>
                          <w:sz w:val="24"/>
                        </w:rPr>
                      </w:pPr>
                      <w:r>
                        <w:rPr>
                          <w:rFonts w:hint="eastAsia"/>
                          <w:sz w:val="24"/>
                        </w:rPr>
                        <w:t>服务提供标准体系</w:t>
                      </w:r>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670528" behindDoc="0" locked="0" layoutInCell="1" allowOverlap="1">
                <wp:simplePos x="0" y="0"/>
                <wp:positionH relativeFrom="column">
                  <wp:posOffset>1000125</wp:posOffset>
                </wp:positionH>
                <wp:positionV relativeFrom="paragraph">
                  <wp:posOffset>3070860</wp:posOffset>
                </wp:positionV>
                <wp:extent cx="666750" cy="1684020"/>
                <wp:effectExtent l="9525" t="8890" r="9525" b="12065"/>
                <wp:wrapNone/>
                <wp:docPr id="21537" name="矩形 21537"/>
                <wp:cNvGraphicFramePr/>
                <a:graphic xmlns:a="http://schemas.openxmlformats.org/drawingml/2006/main">
                  <a:graphicData uri="http://schemas.microsoft.com/office/word/2010/wordprocessingShape">
                    <wps:wsp>
                      <wps:cNvSpPr>
                        <a:spLocks noChangeArrowheads="1"/>
                      </wps:cNvSpPr>
                      <wps:spPr bwMode="auto">
                        <a:xfrm>
                          <a:off x="0" y="0"/>
                          <a:ext cx="666750" cy="16840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BG-B</w:t>
                            </w:r>
                          </w:p>
                          <w:p>
                            <w:pPr>
                              <w:jc w:val="center"/>
                            </w:pPr>
                            <w:r>
                              <w:rPr>
                                <w:rFonts w:hint="eastAsia"/>
                                <w:sz w:val="24"/>
                              </w:rPr>
                              <w:t>服务保障标准体系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8.75pt;margin-top:241.8pt;height:132.6pt;width:52.5pt;z-index:251670528;mso-width-relative:page;mso-height-relative:page;" fillcolor="#FFFFFF" filled="t" stroked="t" coordsize="21600,21600" o:gfxdata="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&#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vQN6dkAAAALAQAADwAAAAAAAAABACAAAAAiAAAA&#10;ZHJzL2Rvd25yZXYueG1sUEsBAhQAFAAAAAgAh07iQALUWW0/AgAAggQAAA4AAAAAAAAAAQAgAAAA&#10;KAEAAGRycy9lMm9Eb2MueG1sUEsFBgAAAAAGAAYAWQEAANkFAAAAAA==&#10;">
                <v:fill on="t" focussize="0,0"/>
                <v:stroke color="#000000" miterlimit="8" joinstyle="miter"/>
                <v:imagedata o:title=""/>
                <o:lock v:ext="edit" aspectratio="f"/>
                <v:textbox>
                  <w:txbxContent>
                    <w:p>
                      <w:pPr>
                        <w:jc w:val="center"/>
                        <w:rPr>
                          <w:sz w:val="24"/>
                        </w:rPr>
                      </w:pPr>
                      <w:r>
                        <w:rPr>
                          <w:rFonts w:hint="eastAsia"/>
                          <w:sz w:val="24"/>
                        </w:rPr>
                        <w:t>BG-B</w:t>
                      </w:r>
                    </w:p>
                    <w:p>
                      <w:pPr>
                        <w:jc w:val="center"/>
                      </w:pPr>
                      <w:r>
                        <w:rPr>
                          <w:rFonts w:hint="eastAsia"/>
                          <w:sz w:val="24"/>
                        </w:rPr>
                        <w:t>服务保障标准体系</w:t>
                      </w:r>
                    </w:p>
                  </w:txbxContent>
                </v:textbox>
              </v:rect>
            </w:pict>
          </mc:Fallback>
        </mc:AlternateContent>
      </w:r>
      <w:r>
        <w:rPr>
          <w:rFonts w:hint="eastAsia" w:ascii="黑体" w:hAnsi="黑体" w:eastAsia="黑体"/>
          <w:bCs/>
          <w:sz w:val="32"/>
          <w:szCs w:val="32"/>
        </w:rPr>
        <mc:AlternateContent>
          <mc:Choice Requires="wps">
            <w:drawing>
              <wp:anchor distT="0" distB="0" distL="114300" distR="114300" simplePos="0" relativeHeight="251707392" behindDoc="0" locked="0" layoutInCell="1" allowOverlap="1">
                <wp:simplePos x="0" y="0"/>
                <wp:positionH relativeFrom="column">
                  <wp:posOffset>7934325</wp:posOffset>
                </wp:positionH>
                <wp:positionV relativeFrom="paragraph">
                  <wp:posOffset>4754880</wp:posOffset>
                </wp:positionV>
                <wp:extent cx="0" cy="297180"/>
                <wp:effectExtent l="57150" t="16510" r="57150" b="10160"/>
                <wp:wrapNone/>
                <wp:docPr id="21536" name="直接连接符 21536"/>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624.75pt;margin-top:374.4pt;height:23.4pt;width:0pt;z-index:251707392;mso-width-relative:page;mso-height-relative:page;" filled="f" stroked="t" coordsize="21600,21600" o:gfxdata="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IgwnaAAAADQEAAA8AAAAAAAAAAQAgAAAA&#10;IgAAAGRycy9kb3ducmV2LnhtbFBLAQIUABQAAAAIAIdO4kBSsy92CQIAAOkDAAAOAAAAAAAAAAEA&#10;IAAAACkBAABkcnMvZTJvRG9jLnhtbFBLBQYAAAAABgAGAFkBAACkBQ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700224" behindDoc="0" locked="0" layoutInCell="1" allowOverlap="1">
                <wp:simplePos x="0" y="0"/>
                <wp:positionH relativeFrom="column">
                  <wp:posOffset>1333500</wp:posOffset>
                </wp:positionH>
                <wp:positionV relativeFrom="paragraph">
                  <wp:posOffset>4754880</wp:posOffset>
                </wp:positionV>
                <wp:extent cx="0" cy="297180"/>
                <wp:effectExtent l="57150" t="16510" r="57150" b="101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05pt;margin-top:374.4pt;height:23.4pt;width:0pt;z-index:251700224;mso-width-relative:page;mso-height-relative:page;" filled="f" stroked="t" coordsize="21600,21600" o:gfxdata="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&#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H6q2gAAAAsBAAAPAAAAAAAAAAEAIAAAACIAAABk&#10;cnMvZG93bnJldi54bWxQSwECFAAUAAAACACHTuJAwHfw4gQCAADjAwAADgAAAAAAAAABACAAAAAp&#10;AQAAZHJzL2Uyb0RvYy54bWxQSwUGAAAAAAYABgBZAQAAnw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9200" behindDoc="0" locked="0" layoutInCell="1" allowOverlap="1">
                <wp:simplePos x="0" y="0"/>
                <wp:positionH relativeFrom="column">
                  <wp:posOffset>1333500</wp:posOffset>
                </wp:positionH>
                <wp:positionV relativeFrom="paragraph">
                  <wp:posOffset>5052060</wp:posOffset>
                </wp:positionV>
                <wp:extent cx="6600825" cy="0"/>
                <wp:effectExtent l="9525" t="8890" r="9525" b="1016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397.8pt;height:0pt;width:519.75pt;z-index:251699200;mso-width-relative:page;mso-height-relative:page;" filled="f" stroked="t" coordsize="21600,21600" o:gfxdata="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1PPvZAAAA&#10;DAEAAA8AAAAAAAAAAQAgAAAAIgAAAGRycy9kb3ducmV2LnhtbFBLAQIUABQAAAAIAIdO4kCdM9ul&#10;4wEAAKwDAAAOAAAAAAAAAAEAIAAAACgBAABkcnMvZTJvRG9jLnhtbFBLBQYAAAAABgAGAFkBAAB9&#10;BQAAAAA=&#10;">
                <v:fill on="f" focussize="0,0"/>
                <v:stroke color="#000000" joinstyle="round"/>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706368" behindDoc="0" locked="0" layoutInCell="1" allowOverlap="1">
                <wp:simplePos x="0" y="0"/>
                <wp:positionH relativeFrom="column">
                  <wp:posOffset>7000875</wp:posOffset>
                </wp:positionH>
                <wp:positionV relativeFrom="paragraph">
                  <wp:posOffset>4754880</wp:posOffset>
                </wp:positionV>
                <wp:extent cx="0" cy="297180"/>
                <wp:effectExtent l="57150" t="16510" r="57150" b="1016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551.25pt;margin-top:374.4pt;height:23.4pt;width:0pt;z-index:251706368;mso-width-relative:page;mso-height-relative:page;" filled="f" stroked="t" coordsize="21600,21600" o:gfxdata="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pwBl9oAAAANAQAADwAAAAAAAAABACAAAAAiAAAA&#10;ZHJzL2Rvd25yZXYueG1sUEsBAhQAFAAAAAgAh07iQFltuNAFAgAA4wMAAA4AAAAAAAAAAQAgAAAA&#10;KQEAAGRycy9lMm9Eb2MueG1sUEsFBgAAAAAGAAYAWQEAAKAFA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8176" behindDoc="0" locked="0" layoutInCell="1" allowOverlap="1">
                <wp:simplePos x="0" y="0"/>
                <wp:positionH relativeFrom="column">
                  <wp:posOffset>4600575</wp:posOffset>
                </wp:positionH>
                <wp:positionV relativeFrom="paragraph">
                  <wp:posOffset>2476500</wp:posOffset>
                </wp:positionV>
                <wp:extent cx="0" cy="2575560"/>
                <wp:effectExtent l="9525" t="5080" r="9525" b="1016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2.25pt;margin-top:195pt;height:202.8pt;width:0pt;z-index:251698176;mso-width-relative:page;mso-height-relative:page;" filled="f" stroked="t" coordsize="21600,21600" o:gfxdata="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xCsBPYAAAA&#10;CwEAAA8AAAAAAAAAAQAgAAAAIgAAAGRycy9kb3ducmV2LnhtbFBLAQIUABQAAAAIAIdO4kAZQIhz&#10;5AEAAKwDAAAOAAAAAAAAAAEAIAAAACcBAABkcnMvZTJvRG9jLnhtbFBLBQYAAAAABgAGAFkBAAB9&#10;BQAAAAA=&#10;">
                <v:fill on="f" focussize="0,0"/>
                <v:stroke color="#000000" joinstyle="round"/>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5104" behindDoc="0" locked="0" layoutInCell="1" allowOverlap="1">
                <wp:simplePos x="0" y="0"/>
                <wp:positionH relativeFrom="column">
                  <wp:posOffset>7400925</wp:posOffset>
                </wp:positionH>
                <wp:positionV relativeFrom="paragraph">
                  <wp:posOffset>1684020</wp:posOffset>
                </wp:positionV>
                <wp:extent cx="0" cy="990600"/>
                <wp:effectExtent l="57150" t="12700" r="57150" b="1587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582.75pt;margin-top:132.6pt;height:78pt;width:0pt;z-index:251695104;mso-width-relative:page;mso-height-relative:page;" filled="f" stroked="t" coordsize="21600,21600" o:gfxdata="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SlmzbAAAADQEAAA8AAAAAAAAAAQAgAAAA&#10;IgAAAGRycy9kb3ducmV2LnhtbFBLAQIUABQAAAAIAIdO4kDxYFmMCAIAAPEDAAAOAAAAAAAAAAEA&#10;IAAAACoBAABkcnMvZTJvRG9jLnhtbFBLBQYAAAAABgAGAFkBAACkBQAAAAA=&#10;">
                <v:fill on="f" focussize="0,0"/>
                <v:stroke color="#000000" joinstyle="round" dashstyle="dash"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6128" behindDoc="0" locked="0" layoutInCell="1" allowOverlap="1">
                <wp:simplePos x="0" y="0"/>
                <wp:positionH relativeFrom="column">
                  <wp:posOffset>5534025</wp:posOffset>
                </wp:positionH>
                <wp:positionV relativeFrom="paragraph">
                  <wp:posOffset>1684020</wp:posOffset>
                </wp:positionV>
                <wp:extent cx="0" cy="990600"/>
                <wp:effectExtent l="57150" t="12700" r="57150" b="1587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435.75pt;margin-top:132.6pt;height:78pt;width:0pt;z-index:251696128;mso-width-relative:page;mso-height-relative:page;" filled="f" stroked="t" coordsize="21600,21600" o:gfxdata="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ECptoAAAALAQAADwAAAAAAAAABACAAAAAi&#10;AAAAZHJzL2Rvd25yZXYueG1sUEsBAhQAFAAAAAgAh07iQO7N5bYIAgAA8QMAAA4AAAAAAAAAAQAg&#10;AAAAKQEAAGRycy9lMm9Eb2MueG1sUEsFBgAAAAAGAAYAWQEAAKMFAAAAAA==&#10;">
                <v:fill on="f" focussize="0,0"/>
                <v:stroke color="#000000" joinstyle="round" dashstyle="dash"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7152" behindDoc="0" locked="0" layoutInCell="1" allowOverlap="1">
                <wp:simplePos x="0" y="0"/>
                <wp:positionH relativeFrom="column">
                  <wp:posOffset>3667125</wp:posOffset>
                </wp:positionH>
                <wp:positionV relativeFrom="paragraph">
                  <wp:posOffset>1684020</wp:posOffset>
                </wp:positionV>
                <wp:extent cx="0" cy="990600"/>
                <wp:effectExtent l="57150" t="12700" r="57150" b="15875"/>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288.75pt;margin-top:132.6pt;height:78pt;width:0pt;z-index:251697152;mso-width-relative:page;mso-height-relative:page;" filled="f" stroked="t" coordsize="21600,21600" o:gfxdata="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3UPp9oAAAALAQAADwAAAAAAAAABACAAAAAiAAAA&#10;ZHJzL2Rvd25yZXYueG1sUEsBAhQAFAAAAAgAh07iQM86IPkFAgAA8QMAAA4AAAAAAAAAAQAgAAAA&#10;KQEAAGRycy9lMm9Eb2MueG1sUEsFBgAAAAAGAAYAWQEAAKAFAAAAAA==&#10;">
                <v:fill on="f" focussize="0,0"/>
                <v:stroke color="#000000" joinstyle="round" dashstyle="dash"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4080" behindDoc="0" locked="0" layoutInCell="1" allowOverlap="1">
                <wp:simplePos x="0" y="0"/>
                <wp:positionH relativeFrom="column">
                  <wp:posOffset>1866900</wp:posOffset>
                </wp:positionH>
                <wp:positionV relativeFrom="paragraph">
                  <wp:posOffset>1684020</wp:posOffset>
                </wp:positionV>
                <wp:extent cx="0" cy="990600"/>
                <wp:effectExtent l="57150" t="12700" r="57150" b="1587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147pt;margin-top:132.6pt;height:78pt;width:0pt;z-index:251694080;mso-width-relative:page;mso-height-relative:page;" filled="f" stroked="t" coordsize="21600,21600" o:gfxdata="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P8w93bAAAACwEAAA8AAAAAAAAAAQAgAAAA&#10;IgAAAGRycy9kb3ducmV2LnhtbFBLAQIUABQAAAAIAIdO4kDQl5zDCAIAAPEDAAAOAAAAAAAAAAEA&#10;IAAAACoBAABkcnMvZTJvRG9jLnhtbFBLBQYAAAAABgAGAFkBAACkBQAAAAA=&#10;">
                <v:fill on="f" focussize="0,0"/>
                <v:stroke color="#000000" joinstyle="round" dashstyle="dash"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9984" behindDoc="0" locked="0" layoutInCell="1" allowOverlap="1">
                <wp:simplePos x="0" y="0"/>
                <wp:positionH relativeFrom="column">
                  <wp:posOffset>7734300</wp:posOffset>
                </wp:positionH>
                <wp:positionV relativeFrom="paragraph">
                  <wp:posOffset>2674620</wp:posOffset>
                </wp:positionV>
                <wp:extent cx="0" cy="396240"/>
                <wp:effectExtent l="57150" t="12700" r="57150" b="1968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09pt;margin-top:210.6pt;height:31.2pt;width:0pt;z-index:251689984;mso-width-relative:page;mso-height-relative:page;" filled="f" stroked="t" coordsize="21600,21600" o:gfxdata="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ATwtoAAAANAQAADwAAAAAAAAABACAAAAAiAAAAZHJzL2Rv&#10;d25yZXYueG1sUEsBAhQAFAAAAAgAh07iQGZQo4P/AQAA2QMAAA4AAAAAAAAAAQAgAAAAKQEAAGRy&#10;cy9lMm9Eb2MueG1sUEsFBgAAAAAGAAYAWQEAAJoFA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1008" behindDoc="0" locked="0" layoutInCell="1" allowOverlap="1">
                <wp:simplePos x="0" y="0"/>
                <wp:positionH relativeFrom="column">
                  <wp:posOffset>7000875</wp:posOffset>
                </wp:positionH>
                <wp:positionV relativeFrom="paragraph">
                  <wp:posOffset>2674620</wp:posOffset>
                </wp:positionV>
                <wp:extent cx="0" cy="396240"/>
                <wp:effectExtent l="57150" t="12700" r="57150" b="1968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51.25pt;margin-top:210.6pt;height:31.2pt;width:0pt;z-index:251691008;mso-width-relative:page;mso-height-relative:page;" filled="f" stroked="t" coordsize="21600,21600" o:gfxdata="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zuEA2gAAAA0BAAAPAAAAAAAAAAEAIAAAACIAAABkcnMvZG93&#10;bnJldi54bWxQSwECFAAUAAAACACHTuJAoW6Wgf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2032" behindDoc="0" locked="0" layoutInCell="1" allowOverlap="1">
                <wp:simplePos x="0" y="0"/>
                <wp:positionH relativeFrom="column">
                  <wp:posOffset>6000750</wp:posOffset>
                </wp:positionH>
                <wp:positionV relativeFrom="paragraph">
                  <wp:posOffset>2674620</wp:posOffset>
                </wp:positionV>
                <wp:extent cx="0" cy="396240"/>
                <wp:effectExtent l="57150" t="12700" r="57150" b="1968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72.5pt;margin-top:210.6pt;height:31.2pt;width:0pt;z-index:251692032;mso-width-relative:page;mso-height-relative:page;" filled="f" stroked="t" coordsize="21600,21600" o:gfxdata="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xtPvjaAAAACwEAAA8AAAAAAAAAAQAgAAAAIgAAAGRycy9kb3du&#10;cmV2LnhtbFBLAQIUABQAAAAIAIdO4kDoLcmH/QEAANk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93056" behindDoc="0" locked="0" layoutInCell="1" allowOverlap="1">
                <wp:simplePos x="0" y="0"/>
                <wp:positionH relativeFrom="column">
                  <wp:posOffset>5267325</wp:posOffset>
                </wp:positionH>
                <wp:positionV relativeFrom="paragraph">
                  <wp:posOffset>2674620</wp:posOffset>
                </wp:positionV>
                <wp:extent cx="0" cy="396240"/>
                <wp:effectExtent l="57150" t="12700" r="57150" b="1968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14.75pt;margin-top:210.6pt;height:31.2pt;width:0pt;z-index:251693056;mso-width-relative:page;mso-height-relative:page;" filled="f" stroked="t" coordsize="21600,21600" o:gfxdata="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q5Zb2gAAAAsBAAAPAAAAAAAAAAEAIAAAACIAAABkcnMvZG93&#10;bnJldi54bWxQSwECFAAUAAAACACHTuJALxP8hf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7936" behindDoc="0" locked="0" layoutInCell="1" allowOverlap="1">
                <wp:simplePos x="0" y="0"/>
                <wp:positionH relativeFrom="column">
                  <wp:posOffset>4000500</wp:posOffset>
                </wp:positionH>
                <wp:positionV relativeFrom="paragraph">
                  <wp:posOffset>2674620</wp:posOffset>
                </wp:positionV>
                <wp:extent cx="0" cy="396240"/>
                <wp:effectExtent l="57150" t="12700" r="57150" b="1968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15pt;margin-top:210.6pt;height:31.2pt;width:0pt;z-index:251687936;mso-width-relative:page;mso-height-relative:page;" filled="f" stroked="t" coordsize="21600,21600" o:gfxdata="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qYk62gAAAAsBAAAPAAAAAAAAAAEAIAAAACIAAABkcnMvZG93&#10;bnJldi54bWxQSwECFAAUAAAACACHTuJAp31mmf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6912" behindDoc="0" locked="0" layoutInCell="1" allowOverlap="1">
                <wp:simplePos x="0" y="0"/>
                <wp:positionH relativeFrom="column">
                  <wp:posOffset>3267075</wp:posOffset>
                </wp:positionH>
                <wp:positionV relativeFrom="paragraph">
                  <wp:posOffset>2674620</wp:posOffset>
                </wp:positionV>
                <wp:extent cx="0" cy="396240"/>
                <wp:effectExtent l="57150" t="12700" r="57150" b="1968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7.25pt;margin-top:210.6pt;height:31.2pt;width:0pt;z-index:251686912;mso-width-relative:page;mso-height-relative:page;" filled="f" stroked="t" coordsize="21600,21600" o:gfxdata="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S50V2gAAAAsBAAAPAAAAAAAAAAEAIAAAACIAAABkcnMvZG93&#10;bnJldi54bWxQSwECFAAUAAAACACHTuJAYENTm/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5888" behindDoc="0" locked="0" layoutInCell="1" allowOverlap="1">
                <wp:simplePos x="0" y="0"/>
                <wp:positionH relativeFrom="column">
                  <wp:posOffset>2133600</wp:posOffset>
                </wp:positionH>
                <wp:positionV relativeFrom="paragraph">
                  <wp:posOffset>2674620</wp:posOffset>
                </wp:positionV>
                <wp:extent cx="0" cy="396240"/>
                <wp:effectExtent l="57150" t="12700" r="57150" b="1968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68pt;margin-top:210.6pt;height:31.2pt;width:0pt;z-index:251685888;mso-width-relative:page;mso-height-relative:page;" filled="f" stroked="t" coordsize="21600,21600" o:gfxdata="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JZc7doAAAALAQAADwAAAAAAAAABACAAAAAiAAAAZHJzL2Rv&#10;d25yZXYueG1sUEsBAhQAFAAAAAgAh07iQA0NcYT/AQAA2QMAAA4AAAAAAAAAAQAgAAAAKQEAAGRy&#10;cy9lMm9Eb2MueG1sUEsFBgAAAAAGAAYAWQEAAJoFA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2816" behindDoc="0" locked="0" layoutInCell="1" allowOverlap="1">
                <wp:simplePos x="0" y="0"/>
                <wp:positionH relativeFrom="column">
                  <wp:posOffset>1400175</wp:posOffset>
                </wp:positionH>
                <wp:positionV relativeFrom="paragraph">
                  <wp:posOffset>2674620</wp:posOffset>
                </wp:positionV>
                <wp:extent cx="0" cy="396240"/>
                <wp:effectExtent l="57150" t="12700" r="57150" b="196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0.25pt;margin-top:210.6pt;height:31.2pt;width:0pt;z-index:251682816;mso-width-relative:page;mso-height-relative:page;" filled="f" stroked="t" coordsize="21600,21600" o:gfxdata="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dJyAzZAAAACwEAAA8AAAAAAAAAAQAgAAAAIgAAAGRycy9kb3du&#10;cmV2LnhtbFBLAQIUABQAAAAIAIdO4kDKM0SG/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79744" behindDoc="0" locked="0" layoutInCell="1" allowOverlap="1">
                <wp:simplePos x="0" y="0"/>
                <wp:positionH relativeFrom="column">
                  <wp:posOffset>5267325</wp:posOffset>
                </wp:positionH>
                <wp:positionV relativeFrom="paragraph">
                  <wp:posOffset>2674620</wp:posOffset>
                </wp:positionV>
                <wp:extent cx="733425" cy="0"/>
                <wp:effectExtent l="9525" t="12700" r="9525" b="63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14.75pt;margin-top:210.6pt;height:0pt;width:57.75pt;z-index:251679744;mso-width-relative:page;mso-height-relative:page;" filled="f" stroked="t" coordsize="21600,21600" o:gfxdata="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msZZ2AAAAAsB&#10;AAAPAAAAAAAAAAEAIAAAACIAAABkcnMvZG93bnJldi54bWxQSwECFAAUAAAACACHTuJAnqgE+OIB&#10;AACrAwAADgAAAAAAAAABACAAAAAnAQAAZHJzL2Uyb0RvYy54bWxQSwUGAAAAAAYABgBZAQAAewUA&#10;AAAA&#10;">
                <v:fill on="f" focussize="0,0"/>
                <v:stroke color="#000000" joinstyle="round"/>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0768" behindDoc="0" locked="0" layoutInCell="1" allowOverlap="1">
                <wp:simplePos x="0" y="0"/>
                <wp:positionH relativeFrom="column">
                  <wp:posOffset>7000875</wp:posOffset>
                </wp:positionH>
                <wp:positionV relativeFrom="paragraph">
                  <wp:posOffset>2674620</wp:posOffset>
                </wp:positionV>
                <wp:extent cx="733425" cy="0"/>
                <wp:effectExtent l="9525" t="12700" r="9525" b="63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1.25pt;margin-top:210.6pt;height:0pt;width:57.75pt;z-index:251680768;mso-width-relative:page;mso-height-relative:page;" filled="f" stroked="t" coordsize="21600,21600" o:gfxdata="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rVe31wAAAA0B&#10;AAAPAAAAAAAAAAEAIAAAACIAAABkcnMvZG93bnJldi54bWxQSwECFAAUAAAACACHTuJAYIGOO+MB&#10;AACrAwAADgAAAAAAAAABACAAAAAmAQAAZHJzL2Uyb0RvYy54bWxQSwUGAAAAAAYABgBZAQAAewUA&#10;AAAA&#10;">
                <v:fill on="f" focussize="0,0"/>
                <v:stroke color="#000000" joinstyle="round"/>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81792" behindDoc="0" locked="0" layoutInCell="1" allowOverlap="1">
                <wp:simplePos x="0" y="0"/>
                <wp:positionH relativeFrom="column">
                  <wp:posOffset>3267075</wp:posOffset>
                </wp:positionH>
                <wp:positionV relativeFrom="paragraph">
                  <wp:posOffset>2674620</wp:posOffset>
                </wp:positionV>
                <wp:extent cx="733425" cy="0"/>
                <wp:effectExtent l="9525" t="12700" r="9525"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7.25pt;margin-top:210.6pt;height:0pt;width:57.75pt;z-index:251681792;mso-width-relative:page;mso-height-relative:page;" filled="f" stroked="t" coordsize="21600,21600" o:gfxdata="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riXVXXAAAACwEA&#10;AA8AAAAAAAAAAQAgAAAAIgAAAGRycy9kb3ducmV2LnhtbFBLAQIUABQAAAAIAIdO4kBZVqsc4gEA&#10;AKsDAAAOAAAAAAAAAAEAIAAAACYBAABkcnMvZTJvRG9jLnhtbFBLBQYAAAAABgAGAFkBAAB6BQAA&#10;AAA=&#10;">
                <v:fill on="f" focussize="0,0"/>
                <v:stroke color="#000000" joinstyle="round"/>
                <v:imagedata o:title=""/>
                <o:lock v:ext="edit" aspectratio="f"/>
              </v:line>
            </w:pict>
          </mc:Fallback>
        </mc:AlternateContent>
      </w:r>
      <w:r>
        <w:rPr>
          <w:rFonts w:hint="eastAsia" w:ascii="黑体" w:hAnsi="黑体" w:eastAsia="黑体"/>
          <w:bCs/>
          <w:sz w:val="32"/>
          <w:szCs w:val="32"/>
        </w:rPr>
        <mc:AlternateContent>
          <mc:Choice Requires="wps">
            <w:drawing>
              <wp:anchor distT="0" distB="0" distL="114300" distR="114300" simplePos="0" relativeHeight="251678720" behindDoc="0" locked="0" layoutInCell="1" allowOverlap="1">
                <wp:simplePos x="0" y="0"/>
                <wp:positionH relativeFrom="column">
                  <wp:posOffset>1400175</wp:posOffset>
                </wp:positionH>
                <wp:positionV relativeFrom="paragraph">
                  <wp:posOffset>2674620</wp:posOffset>
                </wp:positionV>
                <wp:extent cx="733425" cy="0"/>
                <wp:effectExtent l="9525"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0.25pt;margin-top:210.6pt;height:0pt;width:57.75pt;z-index:251678720;mso-width-relative:page;mso-height-relative:page;" filled="f" stroked="t" coordsize="21600,21600" o:gfxdata="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ymadPXAAAACwEA&#10;AA8AAAAAAAAAAQAgAAAAIgAAAGRycy9kb3ducmV2LnhtbFBLAQIUABQAAAAIAIdO4kCnfyHf4gEA&#10;AKsDAAAOAAAAAAAAAAEAIAAAACYBAABkcnMvZTJvRG9jLnhtbFBLBQYAAAAABgAGAFkBAAB6BQAA&#10;AAA=&#10;">
                <v:fill on="f" focussize="0,0"/>
                <v:stroke color="#000000" joinstyle="round"/>
                <v:imagedata o:title=""/>
                <o:lock v:ext="edit" aspectratio="f"/>
              </v:line>
            </w:pict>
          </mc:Fallback>
        </mc:AlternateContent>
      </w:r>
      <w:r>
        <w:rPr>
          <w:rFonts w:hint="eastAsia" w:ascii="黑体" w:hAnsi="黑体" w:eastAsia="黑体"/>
          <w:bCs/>
          <w:sz w:val="32"/>
          <w:szCs w:val="32"/>
        </w:rPr>
        <w:t>黄山市旅游服务标准体系框架图</w:t>
      </w:r>
      <w:r>
        <w:rPr>
          <w:rFonts w:hint="eastAsia"/>
          <w:sz w:val="36"/>
          <w:szCs w:val="36"/>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2080260</wp:posOffset>
                </wp:positionV>
                <wp:extent cx="1466850" cy="396240"/>
                <wp:effectExtent l="9525" t="8890" r="9525" b="1397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466850" cy="396240"/>
                        </a:xfrm>
                        <a:prstGeom prst="rect">
                          <a:avLst/>
                        </a:prstGeom>
                        <a:solidFill>
                          <a:srgbClr val="FFFFFF"/>
                        </a:solidFill>
                        <a:ln w="9525">
                          <a:solidFill>
                            <a:srgbClr val="000000"/>
                          </a:solidFill>
                          <a:miter lim="800000"/>
                        </a:ln>
                      </wps:spPr>
                      <wps:txbx>
                        <w:txbxContent>
                          <w:p>
                            <w:r>
                              <w:rPr>
                                <w:rFonts w:hint="eastAsia"/>
                                <w:sz w:val="24"/>
                              </w:rPr>
                              <w:t>通用基础标准体系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4.5pt;margin-top:163.8pt;height:31.2pt;width:115.5pt;z-index:251659264;mso-width-relative:page;mso-height-relative:page;" fillcolor="#FFFFFF" filled="t" stroked="t" coordsize="21600,21600" o:gfxdata="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gdCk2AAAAAsBAAAPAAAAAAAAAAEAIAAAACIAAABkcnMvZG93&#10;bnJldi54bWxQSwECFAAUAAAACACHTuJAeVTS7zkCAAB8BAAADgAAAAAAAAABACAAAAAnAQAAZHJz&#10;L2Uyb0RvYy54bWxQSwUGAAAAAAYABgBZAQAA0gUAAAAA&#10;">
                <v:fill on="t" focussize="0,0"/>
                <v:stroke color="#000000" miterlimit="8" joinstyle="miter"/>
                <v:imagedata o:title=""/>
                <o:lock v:ext="edit" aspectratio="f"/>
                <v:textbox>
                  <w:txbxContent>
                    <w:p>
                      <w:r>
                        <w:rPr>
                          <w:rFonts w:hint="eastAsia"/>
                          <w:sz w:val="24"/>
                        </w:rPr>
                        <w:t>通用基础标准体系</w:t>
                      </w:r>
                    </w:p>
                  </w:txbxContent>
                </v:textbox>
              </v:rect>
            </w:pict>
          </mc:Fallback>
        </mc:AlternateContent>
      </w:r>
      <w:r>
        <w:rPr>
          <w:sz w:val="36"/>
          <w:szCs w:val="36"/>
        </w:rPr>
        <mc:AlternateContent>
          <mc:Choice Requires="wps">
            <w:drawing>
              <wp:anchor distT="0" distB="0" distL="114300" distR="114300" simplePos="0" relativeHeight="251660288" behindDoc="0" locked="0" layoutInCell="1" allowOverlap="1">
                <wp:simplePos x="0" y="0"/>
                <wp:positionH relativeFrom="column">
                  <wp:posOffset>4600575</wp:posOffset>
                </wp:positionH>
                <wp:positionV relativeFrom="paragraph">
                  <wp:posOffset>1684020</wp:posOffset>
                </wp:positionV>
                <wp:extent cx="0" cy="396240"/>
                <wp:effectExtent l="57150" t="12700" r="57150" b="1968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62.25pt;margin-top:132.6pt;height:31.2pt;width:0pt;z-index:251660288;mso-width-relative:page;mso-height-relative:page;" filled="f" stroked="t" coordsize="21600,21600" o:gfxdata="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rt+ytsAAAALAQAADwAAAAAAAAABACAAAAAiAAAAZHJzL2Rv&#10;d25yZXYueG1sUEsBAhQAFAAAAAgAh07iQFi1+or+AQAA2QMAAA4AAAAAAAAAAQAgAAAAKgEAAGRy&#10;cy9lMm9Eb2MueG1sUEsFBgAAAAAGAAYAWQEAAJoFAAAAAA==&#10;">
                <v:fill on="f" focussize="0,0"/>
                <v:stroke color="#000000" joinstyle="round" endarrow="block"/>
                <v:imagedata o:title=""/>
                <o:lock v:ext="edit" aspectratio="f"/>
              </v:line>
            </w:pict>
          </mc:Fallback>
        </mc:AlternateContent>
      </w:r>
      <w:r>
        <w:rPr>
          <w:sz w:val="36"/>
          <w:szCs w:val="36"/>
        </w:rPr>
        <mc:AlternateContent>
          <mc:Choice Requires="wps">
            <w:drawing>
              <wp:anchor distT="0" distB="0" distL="114300" distR="114300" simplePos="0" relativeHeight="251667456" behindDoc="0" locked="0" layoutInCell="1" allowOverlap="1">
                <wp:simplePos x="0" y="0"/>
                <wp:positionH relativeFrom="column">
                  <wp:posOffset>7400925</wp:posOffset>
                </wp:positionH>
                <wp:positionV relativeFrom="paragraph">
                  <wp:posOffset>1386840</wp:posOffset>
                </wp:positionV>
                <wp:extent cx="0" cy="297180"/>
                <wp:effectExtent l="57150" t="10795" r="57150" b="1587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82.75pt;margin-top:109.2pt;height:23.4pt;width:0pt;z-index:251667456;mso-width-relative:page;mso-height-relative:page;" filled="f" stroked="t" coordsize="21600,21600" o:gfxdata="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qZLadoAAAANAQAADwAAAAAAAAABACAAAAAiAAAAZHJzL2Rvd25y&#10;ZXYueG1sUEsBAhQAFAAAAAgAh07iQGecSfj8AQAA1wMAAA4AAAAAAAAAAQAgAAAAKQEAAGRycy9l&#10;Mm9Eb2MueG1sUEsFBgAAAAAGAAYAWQEAAJcFAAAAAA==&#10;">
                <v:fill on="f" focussize="0,0"/>
                <v:stroke color="#000000" joinstyle="round" endarrow="block"/>
                <v:imagedata o:title=""/>
                <o:lock v:ext="edit" aspectratio="f"/>
              </v:line>
            </w:pict>
          </mc:Fallback>
        </mc:AlternateContent>
      </w:r>
      <w:r>
        <w:rPr>
          <w:sz w:val="36"/>
          <w:szCs w:val="36"/>
        </w:rPr>
        <mc:AlternateContent>
          <mc:Choice Requires="wps">
            <w:drawing>
              <wp:anchor distT="0" distB="0" distL="114300" distR="114300" simplePos="0" relativeHeight="251668480" behindDoc="0" locked="0" layoutInCell="1" allowOverlap="1">
                <wp:simplePos x="0" y="0"/>
                <wp:positionH relativeFrom="column">
                  <wp:posOffset>5534025</wp:posOffset>
                </wp:positionH>
                <wp:positionV relativeFrom="paragraph">
                  <wp:posOffset>1386840</wp:posOffset>
                </wp:positionV>
                <wp:extent cx="0" cy="297180"/>
                <wp:effectExtent l="57150" t="10795" r="57150" b="1587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35.75pt;margin-top:109.2pt;height:23.4pt;width:0pt;z-index:251668480;mso-width-relative:page;mso-height-relative:page;" filled="f" stroked="t" coordsize="21600,21600" o:gfxdata="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nLScraAAAACwEAAA8AAAAAAAAAAQAgAAAAIgAAAGRycy9kb3du&#10;cmV2LnhtbFBLAQIUABQAAAAIAIdO4kDbzguD/QEAANcDAAAOAAAAAAAAAAEAIAAAACkBAABkcnMv&#10;ZTJvRG9jLnhtbFBLBQYAAAAABgAGAFkBAACYBQAAAAA=&#10;">
                <v:fill on="f" focussize="0,0"/>
                <v:stroke color="#000000" joinstyle="round" endarrow="block"/>
                <v:imagedata o:title=""/>
                <o:lock v:ext="edit" aspectratio="f"/>
              </v:line>
            </w:pict>
          </mc:Fallback>
        </mc:AlternateContent>
      </w:r>
      <w:r>
        <w:rPr>
          <w:sz w:val="36"/>
          <w:szCs w:val="36"/>
        </w:rPr>
        <mc:AlternateContent>
          <mc:Choice Requires="wps">
            <w:drawing>
              <wp:anchor distT="0" distB="0" distL="114300" distR="114300" simplePos="0" relativeHeight="251669504" behindDoc="0" locked="0" layoutInCell="1" allowOverlap="1">
                <wp:simplePos x="0" y="0"/>
                <wp:positionH relativeFrom="column">
                  <wp:posOffset>3667125</wp:posOffset>
                </wp:positionH>
                <wp:positionV relativeFrom="paragraph">
                  <wp:posOffset>1386840</wp:posOffset>
                </wp:positionV>
                <wp:extent cx="0" cy="297180"/>
                <wp:effectExtent l="57150" t="10795" r="57150" b="1587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88.75pt;margin-top:109.2pt;height:23.4pt;width:0pt;z-index:251669504;mso-width-relative:page;mso-height-relative:page;" filled="f" stroked="t" coordsize="21600,21600" o:gfxdata="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DfRMvaAAAACwEAAA8AAAAAAAAAAQAgAAAAIgAAAGRycy9kb3du&#10;cmV2LnhtbFBLAQIUABQAAAAIAIdO4kDM7EVU/QEAANcDAAAOAAAAAAAAAAEAIAAAACkBAABkcnMv&#10;ZTJvRG9jLnhtbFBLBQYAAAAABgAGAFkBAACYBQAAAAA=&#10;">
                <v:fill on="f" focussize="0,0"/>
                <v:stroke color="#000000" joinstyle="round" endarrow="block"/>
                <v:imagedata o:title=""/>
                <o:lock v:ext="edit" aspectratio="f"/>
              </v:line>
            </w:pict>
          </mc:Fallback>
        </mc:AlternateContent>
      </w:r>
      <w:r>
        <w:rPr>
          <w:sz w:val="36"/>
          <w:szCs w:val="36"/>
        </w:rPr>
        <mc:AlternateContent>
          <mc:Choice Requires="wps">
            <w:drawing>
              <wp:anchor distT="0" distB="0" distL="114300" distR="114300" simplePos="0" relativeHeight="251666432" behindDoc="0" locked="0" layoutInCell="1" allowOverlap="1">
                <wp:simplePos x="0" y="0"/>
                <wp:positionH relativeFrom="column">
                  <wp:posOffset>1866900</wp:posOffset>
                </wp:positionH>
                <wp:positionV relativeFrom="paragraph">
                  <wp:posOffset>1386840</wp:posOffset>
                </wp:positionV>
                <wp:extent cx="0" cy="297180"/>
                <wp:effectExtent l="57150" t="10795" r="57150" b="1587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7pt;margin-top:109.2pt;height:23.4pt;width:0pt;z-index:251666432;mso-width-relative:page;mso-height-relative:page;" filled="f" stroked="t" coordsize="21600,21600" o:gfxdata="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BWiLHaAAAACwEAAA8AAAAAAAAAAQAgAAAAIgAAAGRycy9kb3du&#10;cmV2LnhtbFBLAQIUABQAAAAIAIdO4kBwvgcv/QEAANcDAAAOAAAAAAAAAAEAIAAAACkBAABkcnMv&#10;ZTJvRG9jLnhtbFBLBQYAAAAABgAGAFkBAACYBQAAAAA=&#10;">
                <v:fill on="f" focussize="0,0"/>
                <v:stroke color="#000000" joinstyle="round" endarrow="block"/>
                <v:imagedata o:title=""/>
                <o:lock v:ext="edit" aspectratio="f"/>
              </v:line>
            </w:pict>
          </mc:Fallback>
        </mc:AlternateContent>
      </w:r>
      <w:r>
        <w:rPr>
          <w:sz w:val="36"/>
          <w:szCs w:val="36"/>
        </w:rPr>
        <mc:AlternateContent>
          <mc:Choice Requires="wps">
            <w:drawing>
              <wp:anchor distT="0" distB="0" distL="114300" distR="114300" simplePos="0" relativeHeight="251665408" behindDoc="0" locked="0" layoutInCell="1" allowOverlap="1">
                <wp:simplePos x="0" y="0"/>
                <wp:positionH relativeFrom="column">
                  <wp:posOffset>1866900</wp:posOffset>
                </wp:positionH>
                <wp:positionV relativeFrom="paragraph">
                  <wp:posOffset>1684020</wp:posOffset>
                </wp:positionV>
                <wp:extent cx="5534025" cy="0"/>
                <wp:effectExtent l="9525" t="12700" r="9525" b="63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7pt;margin-top:132.6pt;height:0pt;width:435.75pt;z-index:251665408;mso-width-relative:page;mso-height-relative:page;" filled="f" stroked="t" coordsize="21600,21600" o:gfxdata="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Rfm9dgAAAAMAQAA&#10;DwAAAAAAAAABACAAAAAiAAAAZHJzL2Rvd25yZXYueG1sUEsBAhQAFAAAAAgAh07iQF6yWPfgAQAA&#10;qgMAAA4AAAAAAAAAAQAgAAAAJwEAAGRycy9lMm9Eb2MueG1sUEsFBgAAAAAGAAYAWQEAAHkFAAAA&#10;AA==&#10;">
                <v:fill on="f" focussize="0,0"/>
                <v:stroke color="#000000" joinstyle="round"/>
                <v:imagedata o:title=""/>
                <o:lock v:ext="edit" aspectratio="f"/>
              </v:line>
            </w:pict>
          </mc:Fallback>
        </mc:AlternateContent>
      </w:r>
      <w:r>
        <w:rPr>
          <w:sz w:val="36"/>
          <w:szCs w:val="36"/>
        </w:rPr>
        <mc:AlternateContent>
          <mc:Choice Requires="wps">
            <w:drawing>
              <wp:anchor distT="0" distB="0" distL="114300" distR="114300" simplePos="0" relativeHeight="251662336" behindDoc="0" locked="0" layoutInCell="1" allowOverlap="1">
                <wp:simplePos x="0" y="0"/>
                <wp:positionH relativeFrom="column">
                  <wp:posOffset>6600825</wp:posOffset>
                </wp:positionH>
                <wp:positionV relativeFrom="paragraph">
                  <wp:posOffset>891540</wp:posOffset>
                </wp:positionV>
                <wp:extent cx="1400175" cy="495300"/>
                <wp:effectExtent l="9525" t="10795" r="9525" b="825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400175" cy="495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LX-旅行社模块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9.75pt;margin-top:70.2pt;height:39pt;width:110.25pt;z-index:251662336;mso-width-relative:page;mso-height-relative:page;" fillcolor="#FFFFFF" filled="t" stroked="t" coordsize="21600,21600" o:gfxdata="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lVAKNkAAAANAQAADwAAAAAAAAABACAAAAAiAAAAZHJzL2Rv&#10;d25yZXYueG1sUEsBAhQAFAAAAAgAh07iQJVG3185AgAAegQAAA4AAAAAAAAAAQAgAAAAKAEAAGRy&#10;cy9lMm9Eb2MueG1sUEsFBgAAAAAGAAYAWQEAANMFAAAAAA==&#10;">
                <v:fill on="t" focussize="0,0"/>
                <v:stroke color="#000000" miterlimit="8" joinstyle="miter"/>
                <v:imagedata o:title=""/>
                <o:lock v:ext="edit" aspectratio="f"/>
                <v:textbox>
                  <w:txbxContent>
                    <w:p>
                      <w:pPr>
                        <w:jc w:val="center"/>
                        <w:rPr>
                          <w:sz w:val="24"/>
                        </w:rPr>
                      </w:pPr>
                      <w:r>
                        <w:rPr>
                          <w:rFonts w:hint="eastAsia"/>
                          <w:sz w:val="24"/>
                        </w:rPr>
                        <w:t>LX-旅行社模块</w:t>
                      </w:r>
                    </w:p>
                  </w:txbxContent>
                </v:textbox>
              </v:rect>
            </w:pict>
          </mc:Fallback>
        </mc:AlternateContent>
      </w:r>
      <w:r>
        <w:rPr>
          <w:sz w:val="36"/>
          <w:szCs w:val="36"/>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891540</wp:posOffset>
                </wp:positionV>
                <wp:extent cx="1400175" cy="495300"/>
                <wp:effectExtent l="9525" t="10795" r="9525" b="825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400175" cy="495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JT-交通模块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8pt;margin-top:70.2pt;height:39pt;width:110.25pt;z-index:251663360;mso-width-relative:page;mso-height-relative:page;" fillcolor="#FFFFFF" filled="t" stroked="t" coordsize="21600,21600" o:gfxdata="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pB32gAAAAsBAAAPAAAAAAAAAAEAIAAAACIAAABkcnMv&#10;ZG93bnJldi54bWxQSwECFAAUAAAACACHTuJA95GXejoCAAB6BAAADgAAAAAAAAABACAAAAApAQAA&#10;ZHJzL2Uyb0RvYy54bWxQSwUGAAAAAAYABgBZAQAA1QUAAAAA&#10;">
                <v:fill on="t" focussize="0,0"/>
                <v:stroke color="#000000" miterlimit="8" joinstyle="miter"/>
                <v:imagedata o:title=""/>
                <o:lock v:ext="edit" aspectratio="f"/>
                <v:textbox>
                  <w:txbxContent>
                    <w:p>
                      <w:pPr>
                        <w:jc w:val="center"/>
                        <w:rPr>
                          <w:sz w:val="24"/>
                        </w:rPr>
                      </w:pPr>
                      <w:r>
                        <w:rPr>
                          <w:rFonts w:hint="eastAsia"/>
                          <w:sz w:val="24"/>
                        </w:rPr>
                        <w:t>JT-交通模块</w:t>
                      </w:r>
                    </w:p>
                  </w:txbxContent>
                </v:textbox>
              </v:rect>
            </w:pict>
          </mc:Fallback>
        </mc:AlternateContent>
      </w:r>
      <w:r>
        <w:rPr>
          <w:sz w:val="36"/>
          <w:szCs w:val="36"/>
        </w:rPr>
        <mc:AlternateContent>
          <mc:Choice Requires="wps">
            <w:drawing>
              <wp:anchor distT="0" distB="0" distL="114300" distR="114300" simplePos="0" relativeHeight="251664384" behindDoc="0" locked="0" layoutInCell="1" allowOverlap="1">
                <wp:simplePos x="0" y="0"/>
                <wp:positionH relativeFrom="column">
                  <wp:posOffset>3000375</wp:posOffset>
                </wp:positionH>
                <wp:positionV relativeFrom="paragraph">
                  <wp:posOffset>891540</wp:posOffset>
                </wp:positionV>
                <wp:extent cx="1400175" cy="495300"/>
                <wp:effectExtent l="9525" t="10795" r="9525" b="825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400175" cy="495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JQ-景区模块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6.25pt;margin-top:70.2pt;height:39pt;width:110.25pt;z-index:251664384;mso-width-relative:page;mso-height-relative:page;" fillcolor="#FFFFFF" filled="t" stroked="t" coordsize="21600,21600" o:gfxdata="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rbWvtkAAAALAQAADwAAAAAAAAABACAAAAAiAAAAZHJzL2Rv&#10;d25yZXYueG1sUEsBAhQAFAAAAAgAh07iQNfUwvw5AgAAegQAAA4AAAAAAAAAAQAgAAAAKAEAAGRy&#10;cy9lMm9Eb2MueG1sUEsFBgAAAAAGAAYAWQEAANMFAAAAAA==&#10;">
                <v:fill on="t" focussize="0,0"/>
                <v:stroke color="#000000" miterlimit="8" joinstyle="miter"/>
                <v:imagedata o:title=""/>
                <o:lock v:ext="edit" aspectratio="f"/>
                <v:textbox>
                  <w:txbxContent>
                    <w:p>
                      <w:pPr>
                        <w:jc w:val="center"/>
                        <w:rPr>
                          <w:sz w:val="24"/>
                        </w:rPr>
                      </w:pPr>
                      <w:r>
                        <w:rPr>
                          <w:rFonts w:hint="eastAsia"/>
                          <w:sz w:val="24"/>
                        </w:rPr>
                        <w:t>JQ-景区模块</w:t>
                      </w:r>
                    </w:p>
                  </w:txbxContent>
                </v:textbox>
              </v:rect>
            </w:pict>
          </mc:Fallback>
        </mc:AlternateContent>
      </w:r>
      <w:r>
        <w:rPr>
          <w:sz w:val="36"/>
          <w:szCs w:val="36"/>
        </w:rPr>
        <mc:AlternateContent>
          <mc:Choice Requires="wps">
            <w:drawing>
              <wp:anchor distT="0" distB="0" distL="114300" distR="114300" simplePos="0" relativeHeight="251661312" behindDoc="0" locked="0" layoutInCell="1" allowOverlap="1">
                <wp:simplePos x="0" y="0"/>
                <wp:positionH relativeFrom="column">
                  <wp:posOffset>1200150</wp:posOffset>
                </wp:positionH>
                <wp:positionV relativeFrom="paragraph">
                  <wp:posOffset>891540</wp:posOffset>
                </wp:positionV>
                <wp:extent cx="1400175" cy="495300"/>
                <wp:effectExtent l="9525" t="10795" r="9525" b="825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400175" cy="495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BG-宾馆模块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70.2pt;height:39pt;width:110.25pt;z-index:251661312;mso-width-relative:page;mso-height-relative:page;" fillcolor="#FFFFFF" filled="t" stroked="t" coordsize="21600,21600" o:gfxdata="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AiwYzYAAAACwEAAA8AAAAAAAAAAQAgAAAAIgAAAGRycy9kb3du&#10;cmV2LnhtbFBLAQIUABQAAAAIAIdO4kD2HUytOAIAAHoEAAAOAAAAAAAAAAEAIAAAACc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BG-宾馆模块</w:t>
                      </w:r>
                    </w:p>
                  </w:txbxContent>
                </v:textbox>
              </v:rect>
            </w:pict>
          </mc:Fallback>
        </mc:AlternateContent>
      </w:r>
    </w:p>
    <w:p>
      <w:pPr>
        <w:rPr>
          <w:sz w:val="36"/>
          <w:szCs w:val="36"/>
        </w:rPr>
      </w:pPr>
    </w:p>
    <w:p>
      <w:pPr>
        <w:rPr>
          <w:sz w:val="36"/>
          <w:szCs w:val="36"/>
        </w:rPr>
      </w:pPr>
    </w:p>
    <w:p>
      <w:pPr>
        <w:rPr>
          <w:sz w:val="36"/>
          <w:szCs w:val="36"/>
        </w:rPr>
      </w:pPr>
    </w:p>
    <w:p>
      <w:pPr>
        <w:rPr>
          <w:sz w:val="36"/>
          <w:szCs w:val="36"/>
        </w:rPr>
      </w:pPr>
    </w:p>
    <w:p>
      <w:pPr>
        <w:tabs>
          <w:tab w:val="left" w:pos="900"/>
        </w:tabs>
        <w:rPr>
          <w:sz w:val="36"/>
          <w:szCs w:val="36"/>
        </w:rPr>
      </w:pPr>
      <w:r>
        <w:rPr>
          <w:sz w:val="36"/>
          <w:szCs w:val="36"/>
        </w:rPr>
        <w:tab/>
      </w:r>
    </w:p>
    <w:p>
      <w:pPr>
        <w:rPr>
          <w:sz w:val="36"/>
          <w:szCs w:val="36"/>
        </w:rPr>
      </w:pPr>
    </w:p>
    <w:p>
      <w:pPr>
        <w:rPr>
          <w:sz w:val="36"/>
          <w:szCs w:val="36"/>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sectPr>
          <w:pgSz w:w="16838" w:h="11906" w:orient="landscape"/>
          <w:pgMar w:top="779" w:right="1440" w:bottom="779" w:left="1440" w:header="851" w:footer="992" w:gutter="0"/>
          <w:pgNumType w:fmt="decimal"/>
          <w:cols w:space="425" w:num="1"/>
          <w:docGrid w:type="linesAndChars" w:linePitch="312" w:charSpace="0"/>
        </w:sectPr>
      </w:pPr>
    </w:p>
    <w:p>
      <w:pPr>
        <w:spacing w:line="360" w:lineRule="auto"/>
        <w:rPr>
          <w:rFonts w:ascii="宋体" w:hAnsi="宋体"/>
          <w:b/>
          <w:sz w:val="18"/>
          <w:szCs w:val="18"/>
        </w:rPr>
      </w:pPr>
    </w:p>
    <w:tbl>
      <w:tblPr>
        <w:tblStyle w:val="15"/>
        <w:tblW w:w="8488" w:type="dxa"/>
        <w:tblInd w:w="91" w:type="dxa"/>
        <w:tblLayout w:type="autofit"/>
        <w:tblCellMar>
          <w:top w:w="0" w:type="dxa"/>
          <w:left w:w="108" w:type="dxa"/>
          <w:bottom w:w="0" w:type="dxa"/>
          <w:right w:w="108" w:type="dxa"/>
        </w:tblCellMar>
      </w:tblPr>
      <w:tblGrid>
        <w:gridCol w:w="868"/>
        <w:gridCol w:w="4394"/>
        <w:gridCol w:w="851"/>
        <w:gridCol w:w="850"/>
        <w:gridCol w:w="709"/>
        <w:gridCol w:w="816"/>
      </w:tblGrid>
      <w:tr>
        <w:tblPrEx>
          <w:tblCellMar>
            <w:top w:w="0" w:type="dxa"/>
            <w:left w:w="108" w:type="dxa"/>
            <w:bottom w:w="0" w:type="dxa"/>
            <w:right w:w="108" w:type="dxa"/>
          </w:tblCellMar>
        </w:tblPrEx>
        <w:trPr>
          <w:trHeight w:val="585" w:hRule="atLeast"/>
        </w:trPr>
        <w:tc>
          <w:tcPr>
            <w:tcW w:w="8488" w:type="dxa"/>
            <w:gridSpan w:val="6"/>
            <w:tcBorders>
              <w:top w:val="nil"/>
              <w:left w:val="nil"/>
              <w:bottom w:val="nil"/>
              <w:right w:val="nil"/>
            </w:tcBorders>
            <w:shd w:val="clear" w:color="auto" w:fill="auto"/>
            <w:noWrap/>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黄山市服务标准化试点单位标准统计一览表</w:t>
            </w:r>
          </w:p>
        </w:tc>
      </w:tr>
      <w:tr>
        <w:tblPrEx>
          <w:tblCellMar>
            <w:top w:w="0" w:type="dxa"/>
            <w:left w:w="108" w:type="dxa"/>
            <w:bottom w:w="0" w:type="dxa"/>
            <w:right w:w="108" w:type="dxa"/>
          </w:tblCellMar>
        </w:tblPrEx>
        <w:trPr>
          <w:trHeight w:val="522" w:hRule="atLeast"/>
        </w:trPr>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单位名称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国家标准</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行业标准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地方标准</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企业标准</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黄山旅游发展股份有限公司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810</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白云宾馆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376</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北海宾馆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370</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排云楼宾馆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479</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狮林大酒店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479</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玉屏楼宾馆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381</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西海饭店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513</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云谷山庄</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185</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汤泉大酒店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344</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黄山轩辕国际大酒店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424</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黄山国际大酒店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714</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华山宾馆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167</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595</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徽商故里大酒店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177</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413</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玉屏索道有限公司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240</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太平索道有限公司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167</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230</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云谷索道有限公司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177</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240</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中海国际旅行社</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105</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花山谜窟</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143</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园林开发分公司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185</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歙县披云山庄</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1181</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歙县旅游开发有限公司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192</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歙县政务中心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336</w:t>
            </w:r>
          </w:p>
        </w:tc>
      </w:tr>
      <w:tr>
        <w:tblPrEx>
          <w:tblCellMar>
            <w:top w:w="0" w:type="dxa"/>
            <w:left w:w="108" w:type="dxa"/>
            <w:bottom w:w="0" w:type="dxa"/>
            <w:right w:w="108" w:type="dxa"/>
          </w:tblCellMar>
        </w:tblPrEx>
        <w:trPr>
          <w:trHeight w:val="522" w:hRule="atLeast"/>
        </w:trPr>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黄山市盐铺旅游开发有限公司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120</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安徽广林齐云山旅游发展有限公司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135</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休宁县状元故里大酒店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179</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黄山京黟旅游开发有限公司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58</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105</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27</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黄山市黟县西递旅游服务公司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92</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28</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东黄山旅游度假区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181</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太平湖风景区管委会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85</w:t>
            </w:r>
          </w:p>
        </w:tc>
      </w:tr>
      <w:tr>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汤口镇人民政府</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31</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黄山市翡翠谷旅游有限责任公司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86</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新国线集团（黄山）运输有限公司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96</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33</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黄山环球大酒店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402</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黄山汤口宾馆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371</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黄山市翠林苑蕲蛇科技研发中心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87</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祁门县牯牛降大酒店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166</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祁门县华媛超市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124</w:t>
            </w:r>
          </w:p>
        </w:tc>
      </w:tr>
      <w:tr>
        <w:tblPrEx>
          <w:tblCellMar>
            <w:top w:w="0" w:type="dxa"/>
            <w:left w:w="108" w:type="dxa"/>
            <w:bottom w:w="0" w:type="dxa"/>
            <w:right w:w="108" w:type="dxa"/>
          </w:tblCellMar>
        </w:tblPrEx>
        <w:trPr>
          <w:trHeight w:val="522" w:hRule="atLeast"/>
        </w:trPr>
        <w:tc>
          <w:tcPr>
            <w:tcW w:w="8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w:t>
            </w:r>
          </w:p>
        </w:tc>
        <w:tc>
          <w:tcPr>
            <w:tcW w:w="439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4319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237</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51</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11164</w:t>
            </w:r>
          </w:p>
        </w:tc>
      </w:tr>
    </w:tbl>
    <w:p>
      <w:pPr>
        <w:spacing w:line="360" w:lineRule="auto"/>
        <w:ind w:firstLine="630" w:firstLineChars="196"/>
        <w:rPr>
          <w:rFonts w:ascii="仿宋" w:hAnsi="仿宋" w:eastAsia="仿宋"/>
          <w:b/>
          <w:sz w:val="32"/>
        </w:rPr>
      </w:pPr>
    </w:p>
    <w:p>
      <w:pPr>
        <w:spacing w:line="360" w:lineRule="auto"/>
        <w:ind w:firstLine="630" w:firstLineChars="196"/>
        <w:rPr>
          <w:rFonts w:ascii="仿宋" w:hAnsi="仿宋" w:eastAsia="仿宋"/>
          <w:b/>
          <w:sz w:val="32"/>
        </w:rPr>
      </w:pPr>
      <w:r>
        <w:rPr>
          <w:rFonts w:hint="eastAsia" w:ascii="仿宋" w:hAnsi="仿宋" w:eastAsia="仿宋"/>
          <w:b/>
          <w:sz w:val="32"/>
        </w:rPr>
        <w:t>六、开展标准化工作的成效</w:t>
      </w:r>
    </w:p>
    <w:p>
      <w:pPr>
        <w:spacing w:line="360" w:lineRule="auto"/>
        <w:ind w:firstLine="627" w:firstLineChars="196"/>
        <w:rPr>
          <w:rFonts w:ascii="仿宋" w:hAnsi="仿宋" w:eastAsia="仿宋"/>
          <w:sz w:val="32"/>
        </w:rPr>
      </w:pPr>
      <w:r>
        <w:rPr>
          <w:rFonts w:hint="eastAsia" w:ascii="仿宋" w:hAnsi="仿宋" w:eastAsia="仿宋"/>
          <w:sz w:val="32"/>
        </w:rPr>
        <w:t>黄山市国家级服务业标准化试点项目建设在国家标准化管理委员会和安徽省市场监管局的大力支持下，以“围绕黄山旅游服务业，建立健全满足服务业标准体系，组织实施服务标准，开展旅游业服务质量评价，树立服务品牌”为总体目标，大力实施旅游服务标准化工作，</w:t>
      </w:r>
      <w:r>
        <w:rPr>
          <w:rFonts w:ascii="仿宋" w:hAnsi="仿宋" w:eastAsia="仿宋"/>
          <w:sz w:val="32"/>
        </w:rPr>
        <w:t>推动</w:t>
      </w:r>
      <w:r>
        <w:rPr>
          <w:rFonts w:hint="eastAsia" w:ascii="仿宋" w:hAnsi="仿宋" w:eastAsia="仿宋"/>
          <w:sz w:val="32"/>
        </w:rPr>
        <w:t>了</w:t>
      </w:r>
      <w:r>
        <w:rPr>
          <w:rFonts w:ascii="仿宋" w:hAnsi="仿宋" w:eastAsia="仿宋"/>
          <w:sz w:val="32"/>
        </w:rPr>
        <w:t>旅游服务业向集约型、品牌化、效益型方向发展</w:t>
      </w:r>
      <w:r>
        <w:rPr>
          <w:rFonts w:hint="eastAsia" w:ascii="仿宋" w:hAnsi="仿宋" w:eastAsia="仿宋"/>
          <w:sz w:val="32"/>
        </w:rPr>
        <w:t>，</w:t>
      </w:r>
      <w:r>
        <w:rPr>
          <w:rFonts w:ascii="仿宋" w:hAnsi="仿宋" w:eastAsia="仿宋"/>
          <w:sz w:val="32"/>
        </w:rPr>
        <w:t>提升</w:t>
      </w:r>
      <w:r>
        <w:rPr>
          <w:rFonts w:hint="eastAsia" w:ascii="仿宋" w:hAnsi="仿宋" w:eastAsia="仿宋"/>
          <w:sz w:val="32"/>
        </w:rPr>
        <w:t>了</w:t>
      </w:r>
      <w:r>
        <w:rPr>
          <w:rFonts w:ascii="仿宋" w:hAnsi="仿宋" w:eastAsia="仿宋"/>
          <w:sz w:val="32"/>
        </w:rPr>
        <w:t>旅游企业在管理、信誉、品牌、服务、理念等方面的“软实力”</w:t>
      </w:r>
      <w:r>
        <w:rPr>
          <w:rFonts w:hint="eastAsia" w:ascii="仿宋" w:hAnsi="仿宋" w:eastAsia="仿宋"/>
          <w:sz w:val="32"/>
        </w:rPr>
        <w:t>，有力地促进旅游服务业的结构优化和产业发展，为旅游服务业的可持续发展奠定基础。通过三年的建设，取得了明显的成效，主要体现在：</w:t>
      </w:r>
    </w:p>
    <w:p>
      <w:pPr>
        <w:spacing w:line="360" w:lineRule="auto"/>
        <w:ind w:firstLine="627" w:firstLineChars="196"/>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服务质量大幅提高。经济总量占到全市旅游经济总收入80%以上的13家省级和68家市级试点企业，服务标准化覆盖率和实施率均为100%。试点企业采用、编制标准合计18000余项，覆盖服务管理的全过程，</w:t>
      </w:r>
      <w:r>
        <w:rPr>
          <w:rFonts w:ascii="仿宋" w:hAnsi="仿宋" w:eastAsia="仿宋"/>
          <w:sz w:val="32"/>
        </w:rPr>
        <w:t>解决了无标</w:t>
      </w:r>
      <w:r>
        <w:rPr>
          <w:rFonts w:hint="eastAsia" w:ascii="仿宋" w:hAnsi="仿宋" w:eastAsia="仿宋"/>
          <w:sz w:val="32"/>
        </w:rPr>
        <w:t>服务</w:t>
      </w:r>
      <w:r>
        <w:rPr>
          <w:rFonts w:ascii="仿宋" w:hAnsi="仿宋" w:eastAsia="仿宋"/>
          <w:sz w:val="32"/>
        </w:rPr>
        <w:t>的问题。</w:t>
      </w:r>
      <w:r>
        <w:rPr>
          <w:rFonts w:hint="eastAsia" w:ascii="仿宋" w:hAnsi="仿宋" w:eastAsia="仿宋"/>
          <w:sz w:val="32"/>
        </w:rPr>
        <w:t>各试点单位都建立企业服务标准体系，保证有效实施和运行。</w:t>
      </w:r>
      <w:r>
        <w:rPr>
          <w:rFonts w:ascii="仿宋" w:hAnsi="仿宋" w:eastAsia="仿宋"/>
          <w:sz w:val="32"/>
        </w:rPr>
        <w:t>打破了</w:t>
      </w:r>
      <w:r>
        <w:rPr>
          <w:rFonts w:hint="eastAsia" w:ascii="仿宋" w:hAnsi="仿宋" w:eastAsia="仿宋"/>
          <w:sz w:val="32"/>
        </w:rPr>
        <w:t>机构</w:t>
      </w:r>
      <w:r>
        <w:rPr>
          <w:rFonts w:ascii="仿宋" w:hAnsi="仿宋" w:eastAsia="仿宋"/>
          <w:sz w:val="32"/>
        </w:rPr>
        <w:t>划分不清晰、工作职责不明确、工作随意性强的管理现状</w:t>
      </w:r>
      <w:r>
        <w:rPr>
          <w:rFonts w:hint="eastAsia" w:ascii="仿宋" w:hAnsi="仿宋" w:eastAsia="仿宋"/>
          <w:sz w:val="32"/>
        </w:rPr>
        <w:t>，各试点单位旅游服务质量整体水平有质的提高，旅游服务行业整体形象显著改善，综合实力显著提升。通过开展旅游服务标准化工作，旅游服务行业的标准化</w:t>
      </w:r>
      <w:r>
        <w:rPr>
          <w:rFonts w:ascii="仿宋" w:hAnsi="仿宋" w:eastAsia="仿宋"/>
          <w:sz w:val="32"/>
        </w:rPr>
        <w:t>意识</w:t>
      </w:r>
      <w:r>
        <w:rPr>
          <w:rFonts w:hint="eastAsia" w:ascii="仿宋" w:hAnsi="仿宋" w:eastAsia="仿宋"/>
          <w:sz w:val="32"/>
        </w:rPr>
        <w:t>得到极大</w:t>
      </w:r>
      <w:r>
        <w:rPr>
          <w:rFonts w:ascii="仿宋" w:hAnsi="仿宋" w:eastAsia="仿宋"/>
          <w:sz w:val="32"/>
        </w:rPr>
        <w:t>增强</w:t>
      </w:r>
      <w:r>
        <w:rPr>
          <w:rFonts w:hint="eastAsia" w:ascii="仿宋" w:hAnsi="仿宋" w:eastAsia="仿宋"/>
          <w:sz w:val="32"/>
        </w:rPr>
        <w:t>，基本形成了“管理靠制度、工作靠程序、操作按标准、人人尽职、事事规范”的良好局面，服务企业的顾客满意度稳步上升，而旅游服务投诉明显下降。xxxx年全市旅游旅游接待2123万人次，服务行业各类有效投诉29起，没有发生较大和重大旅游投诉事件，万人次投诉率由xxx年的2.42%下降到xxx年的1.36%了。xxxx年第一季度，全国旅游满意度调查结果显示，黄山市名列北京之后为第九名。</w:t>
      </w:r>
    </w:p>
    <w:p>
      <w:pPr>
        <w:spacing w:line="360" w:lineRule="auto"/>
        <w:ind w:firstLine="627" w:firstLineChars="196"/>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示范辐射作用明显增强。截止xxxx年底，黄山旅游度假区有限公司等5家服务类企业荣获安徽省卓越绩效奖，黄山百大等2家服务业企业荣获黄山市首届市长质量奖，黄山一楼公司等5家服务类企业荣获“安徽名牌”称号，有42家旅游服务企业被市政府授予“黄山名牌”产品称号，黄山旅游发展股份有限公司和歙县披云山庄2家企业荣获安徽省首批服务标准化试点评估示范单位，歙县政务中心和新国线集团黄山运输有限公司等9家企业荣获省首批服务标准化试点评估合格单位，37家旅游服务业企业通过了3A级及以上“标准化良好行为企业”确认，2家旅行社进入全国百强社，“黄山旅游”已经</w:t>
      </w:r>
      <w:r>
        <w:rPr>
          <w:rFonts w:ascii="仿宋" w:hAnsi="仿宋" w:eastAsia="仿宋"/>
          <w:sz w:val="32"/>
        </w:rPr>
        <w:t>真正成为优质</w:t>
      </w:r>
      <w:r>
        <w:rPr>
          <w:rFonts w:hint="eastAsia" w:ascii="仿宋" w:hAnsi="仿宋" w:eastAsia="仿宋"/>
          <w:sz w:val="32"/>
        </w:rPr>
        <w:t>服务</w:t>
      </w:r>
      <w:r>
        <w:rPr>
          <w:rFonts w:ascii="仿宋" w:hAnsi="仿宋" w:eastAsia="仿宋"/>
          <w:sz w:val="32"/>
        </w:rPr>
        <w:t>的标志</w:t>
      </w:r>
      <w:r>
        <w:rPr>
          <w:rFonts w:hint="eastAsia" w:ascii="仿宋" w:hAnsi="仿宋" w:eastAsia="仿宋"/>
          <w:sz w:val="32"/>
        </w:rPr>
        <w:t>。旅游服务标准化试点城市建设有效地调动了各方标准化工作积极性，企业参加专题培训，开展服务标准化活动的热情高涨。</w:t>
      </w:r>
    </w:p>
    <w:p>
      <w:pPr>
        <w:spacing w:line="360" w:lineRule="auto"/>
        <w:ind w:firstLine="627" w:firstLineChars="196"/>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旅游业收入稳步攀升。通过旅游服务标准化试点项目建设，全市在接待游客总数、旅游总收入、入境人数和创汇收入等方面稳步</w:t>
      </w:r>
      <w:r>
        <w:rPr>
          <w:rFonts w:ascii="仿宋" w:hAnsi="仿宋" w:eastAsia="仿宋"/>
          <w:sz w:val="32"/>
        </w:rPr>
        <w:t>增</w:t>
      </w:r>
      <w:r>
        <w:rPr>
          <w:rFonts w:hint="eastAsia" w:ascii="仿宋" w:hAnsi="仿宋" w:eastAsia="仿宋"/>
          <w:sz w:val="32"/>
        </w:rPr>
        <w:t>长，截止xxxx年底，</w:t>
      </w:r>
      <w:r>
        <w:rPr>
          <w:rFonts w:ascii="仿宋" w:hAnsi="仿宋" w:eastAsia="仿宋"/>
          <w:sz w:val="32"/>
        </w:rPr>
        <w:t>全</w:t>
      </w:r>
      <w:r>
        <w:rPr>
          <w:rFonts w:hint="eastAsia" w:ascii="仿宋" w:hAnsi="仿宋" w:eastAsia="仿宋"/>
          <w:sz w:val="32"/>
        </w:rPr>
        <w:t>市</w:t>
      </w:r>
      <w:r>
        <w:rPr>
          <w:rFonts w:ascii="仿宋" w:hAnsi="仿宋" w:eastAsia="仿宋"/>
          <w:sz w:val="32"/>
        </w:rPr>
        <w:t>接待游客</w:t>
      </w:r>
      <w:r>
        <w:rPr>
          <w:rFonts w:hint="eastAsia" w:ascii="仿宋" w:hAnsi="仿宋" w:eastAsia="仿宋"/>
          <w:sz w:val="32"/>
        </w:rPr>
        <w:t>xxxx</w:t>
      </w:r>
      <w:r>
        <w:rPr>
          <w:rFonts w:ascii="仿宋" w:hAnsi="仿宋" w:eastAsia="仿宋"/>
          <w:sz w:val="32"/>
        </w:rPr>
        <w:t>万人次，旅游总收入xxx亿元，其中，入境游客xxx万人次，创汇xx亿美元，</w:t>
      </w:r>
      <w:r>
        <w:rPr>
          <w:rFonts w:hint="eastAsia" w:ascii="仿宋" w:hAnsi="仿宋" w:eastAsia="仿宋"/>
          <w:sz w:val="32"/>
        </w:rPr>
        <w:t>四项指标较试点项目建设前均翻了一番</w:t>
      </w:r>
      <w:r>
        <w:rPr>
          <w:rFonts w:ascii="仿宋" w:hAnsi="仿宋" w:eastAsia="仿宋"/>
          <w:sz w:val="32"/>
        </w:rPr>
        <w:t>。</w:t>
      </w:r>
    </w:p>
    <w:p>
      <w:pPr>
        <w:spacing w:line="360" w:lineRule="auto"/>
        <w:ind w:firstLine="627" w:firstLineChars="196"/>
        <w:rPr>
          <w:rFonts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服务标准化意识得到强化。通过多渠道的宣传和有目的、分阶段、系统化的标准化业务知识培训，强化了旅游服务行业的标准化意识，无论是旅游服务管理部门还是企业、无论是领导层、管理层，还是一线员工，在思想上、意识上都对旅游服务标准化工作给予了足够重视，提高了服务标准化工作的积极性和主动性。</w:t>
      </w:r>
    </w:p>
    <w:p>
      <w:pPr>
        <w:spacing w:line="360" w:lineRule="auto"/>
        <w:ind w:firstLine="627" w:firstLineChars="196"/>
        <w:rPr>
          <w:rFonts w:ascii="仿宋" w:hAnsi="仿宋" w:eastAsia="仿宋"/>
          <w:sz w:val="32"/>
        </w:rPr>
      </w:pPr>
      <w:r>
        <w:rPr>
          <w:rFonts w:hint="eastAsia" w:ascii="仿宋" w:hAnsi="仿宋" w:eastAsia="仿宋"/>
          <w:sz w:val="32"/>
        </w:rPr>
        <w:t>5</w:t>
      </w:r>
      <w:r>
        <w:rPr>
          <w:rFonts w:hint="eastAsia" w:ascii="仿宋" w:hAnsi="仿宋" w:eastAsia="仿宋"/>
          <w:sz w:val="32"/>
          <w:lang w:eastAsia="zh-CN"/>
        </w:rPr>
        <w:t>.</w:t>
      </w:r>
      <w:r>
        <w:rPr>
          <w:rFonts w:hint="eastAsia" w:ascii="仿宋" w:hAnsi="仿宋" w:eastAsia="仿宋"/>
          <w:sz w:val="32"/>
        </w:rPr>
        <w:t>工作机制日臻完善。紧紧围绕旅游服务工作，形成了标准化工作“人”、“财”、“物”的资源保障，为旅游服务业标准化工作的长期有效开展积累了经验，为下一步全面推进奠定基础。</w:t>
      </w: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ind w:firstLine="961" w:firstLineChars="300"/>
        <w:rPr>
          <w:rFonts w:eastAsia="华文中宋"/>
          <w:b/>
          <w:bCs/>
          <w:sz w:val="32"/>
        </w:rPr>
      </w:pPr>
    </w:p>
    <w:p>
      <w:pPr>
        <w:jc w:val="center"/>
        <w:rPr>
          <w:rFonts w:ascii="黑体" w:hAnsi="黑体" w:eastAsia="黑体"/>
          <w:bCs/>
          <w:sz w:val="32"/>
        </w:rPr>
      </w:pPr>
      <w:r>
        <w:rPr>
          <w:rFonts w:hint="eastAsia" w:ascii="黑体" w:hAnsi="黑体" w:eastAsia="黑体"/>
          <w:bCs/>
          <w:sz w:val="32"/>
        </w:rPr>
        <w:t>案例</w:t>
      </w:r>
      <w:r>
        <w:rPr>
          <w:rFonts w:hint="eastAsia" w:ascii="黑体" w:hAnsi="黑体" w:eastAsia="黑体"/>
          <w:bCs/>
          <w:sz w:val="32"/>
          <w:lang w:val="en-US" w:eastAsia="zh-CN"/>
        </w:rPr>
        <w:t>2</w:t>
      </w:r>
      <w:r>
        <w:rPr>
          <w:rFonts w:ascii="黑体" w:hAnsi="黑体" w:eastAsia="黑体"/>
          <w:bCs/>
          <w:sz w:val="32"/>
        </w:rPr>
        <w:t xml:space="preserve"> </w:t>
      </w:r>
      <w:r>
        <w:rPr>
          <w:rFonts w:hint="eastAsia" w:ascii="黑体" w:hAnsi="黑体" w:eastAsia="黑体"/>
          <w:bCs/>
          <w:sz w:val="32"/>
        </w:rPr>
        <w:t>济南舜耕山庄集团国家级服务业标准化试点</w:t>
      </w:r>
    </w:p>
    <w:p>
      <w:pPr>
        <w:spacing w:line="420" w:lineRule="auto"/>
        <w:jc w:val="center"/>
        <w:rPr>
          <w:rFonts w:ascii="仿宋_GB2312" w:hAnsi="Times New Roman" w:eastAsia="仿宋_GB2312"/>
          <w:sz w:val="28"/>
          <w:szCs w:val="20"/>
        </w:rPr>
      </w:pPr>
    </w:p>
    <w:p>
      <w:pPr>
        <w:spacing w:line="360" w:lineRule="auto"/>
        <w:ind w:firstLine="627" w:firstLineChars="196"/>
        <w:rPr>
          <w:rFonts w:ascii="仿宋" w:hAnsi="仿宋" w:eastAsia="仿宋"/>
          <w:sz w:val="32"/>
        </w:rPr>
      </w:pPr>
      <w:r>
        <w:rPr>
          <w:rFonts w:hint="eastAsia" w:ascii="仿宋" w:hAnsi="仿宋" w:eastAsia="仿宋"/>
          <w:sz w:val="32"/>
        </w:rPr>
        <w:t>济南舜耕山庄集团被列为国家级服务业标准化试点单位以来，在国家标准委、山东省市场监管局和济南市市场监管局的大力指导下，务实创新、稳步推进，将标准化理念和管理手段融入实际工作中，建立了科学规范的标准体系和涉及餐饮住宿、商务娱乐及会展服务领域的1890项标准。通过标准体系的有效运行，集团服务水平得以稳步提升，“微笑的舜耕山庄欢迎您”的服务品牌更加响亮，整体工作取得显著成效。目前，集团已通过省级服务业标准化试点评估，荣获山东省发改委、山东省市场监管局联合授予的“山东省服务业标准化示范单位”的荣誉称号。集团牵头制定了鲁菜、会展服务等山东省地方标准22项，承担着山东省服务业标准化技术委员会鲁菜分技术委员会和会展分技术委员会的主要工作。xxxx年全运会期间，舜耕山庄集团标准化服务模式被全面推广到全省各接待服务单位，标准化服务为成功完成全运接待任务提供了坚实的技术支撑。xxxx年，集团被国家旅游局确定为国家级旅游标准化试点单位。</w:t>
      </w:r>
    </w:p>
    <w:p>
      <w:pPr>
        <w:spacing w:line="360" w:lineRule="auto"/>
        <w:ind w:firstLine="627" w:firstLineChars="196"/>
        <w:rPr>
          <w:rFonts w:ascii="黑体" w:hAnsi="黑体" w:eastAsia="黑体"/>
          <w:bCs/>
          <w:sz w:val="32"/>
        </w:rPr>
      </w:pPr>
      <w:r>
        <w:rPr>
          <w:rFonts w:hint="eastAsia" w:ascii="黑体" w:hAnsi="黑体" w:eastAsia="黑体"/>
          <w:bCs/>
          <w:sz w:val="32"/>
        </w:rPr>
        <w:t>一、试点基本情况</w:t>
      </w:r>
    </w:p>
    <w:p>
      <w:pPr>
        <w:spacing w:line="360" w:lineRule="auto"/>
        <w:ind w:firstLine="627" w:firstLineChars="196"/>
        <w:rPr>
          <w:rFonts w:ascii="仿宋" w:hAnsi="仿宋" w:eastAsia="仿宋"/>
          <w:sz w:val="32"/>
        </w:rPr>
      </w:pPr>
      <w:r>
        <w:rPr>
          <w:rFonts w:hint="eastAsia" w:ascii="仿宋" w:hAnsi="仿宋" w:eastAsia="仿宋"/>
          <w:sz w:val="32"/>
        </w:rPr>
        <w:t>济南舜耕山庄建于1985年，隶属济南市委办公厅，是一座集民族风格、园林特色、时代气息、历史文脉于一体的四星级宾馆。2002年，组建济南舜耕山庄集团，成为拥有舜耕山庄宾馆、舜耕国际会展中心、舜耕山庄商务会所及酒店管理公司、舜耕实业公司的综合旅业集团。</w:t>
      </w:r>
    </w:p>
    <w:p>
      <w:pPr>
        <w:spacing w:line="360" w:lineRule="auto"/>
        <w:ind w:firstLine="627" w:firstLineChars="196"/>
        <w:rPr>
          <w:rFonts w:ascii="仿宋" w:hAnsi="仿宋" w:eastAsia="仿宋"/>
          <w:sz w:val="32"/>
        </w:rPr>
      </w:pPr>
      <w:r>
        <w:rPr>
          <w:rFonts w:hint="eastAsia" w:ascii="仿宋" w:hAnsi="仿宋" w:eastAsia="仿宋"/>
          <w:sz w:val="32"/>
        </w:rPr>
        <w:t>舜耕山庄宾馆现有经营面积50000余平方米，拥有总统套房、高级商务间等各种客房293间（套），可同时下榻500余人；风格各异的餐厅、宴会厅60余间，可同时容纳千余人就餐，功能齐全的大小会议室25个，还拥有近万平方米的高档写字楼。</w:t>
      </w:r>
    </w:p>
    <w:p>
      <w:pPr>
        <w:spacing w:line="360" w:lineRule="auto"/>
        <w:ind w:firstLine="627" w:firstLineChars="196"/>
        <w:rPr>
          <w:rFonts w:ascii="仿宋" w:hAnsi="仿宋" w:eastAsia="仿宋"/>
          <w:sz w:val="32"/>
        </w:rPr>
      </w:pPr>
      <w:r>
        <w:rPr>
          <w:rFonts w:hint="eastAsia" w:ascii="仿宋" w:hAnsi="仿宋" w:eastAsia="仿宋"/>
          <w:sz w:val="32"/>
        </w:rPr>
        <w:t>舜耕国际会展中心建筑面积36000平方米，拥有1000个国际标准展位。舜耕山庄商务会所建筑面积20000余平方米，康体娱乐设施齐全，兼有餐饮、写字间功能。酒店管理公司委托管理了舜元大酒店、商河温泉度假村、舜耕南山庄园等多家酒店。</w:t>
      </w:r>
    </w:p>
    <w:p>
      <w:pPr>
        <w:spacing w:line="360" w:lineRule="auto"/>
        <w:ind w:firstLine="627" w:firstLineChars="196"/>
        <w:rPr>
          <w:rFonts w:ascii="仿宋" w:hAnsi="仿宋" w:eastAsia="仿宋"/>
          <w:sz w:val="32"/>
        </w:rPr>
      </w:pPr>
      <w:r>
        <w:rPr>
          <w:rFonts w:hint="eastAsia" w:ascii="仿宋" w:hAnsi="仿宋" w:eastAsia="仿宋"/>
          <w:sz w:val="32"/>
        </w:rPr>
        <w:t>舜耕山庄于xxxx年通过ISO9001质量管理体系认证，xxxx年通过ISO14001环境管理体系认证，并于xxxx年在国内同行业首批全面导入酒店“六常管理法”。xxxx年被省市场监管局、省发改委确定为山东省服务标准化试点单位；xxxx年被国家标准委确定为国家级服务标准化试点单位。近几年，集团先后荣获了“全国旅游系统先进集体”“全国商业服务业先进企业”“全国餐饮业优秀企业”“首届中国饭店金星奖”“十一运先进集体”“全国宾馆（酒店）节水示范单位”“中国十大品牌会展场馆”“会展十年营销大奖”“省级文明单位”“山东省消费者满意单位”“山东省服务名牌”“山东省商业服务业先进企业”“山东省服务标准化示范单位”等三十余项省级以上荣誉称号。</w:t>
      </w:r>
    </w:p>
    <w:p>
      <w:pPr>
        <w:spacing w:line="360" w:lineRule="auto"/>
        <w:ind w:firstLine="627" w:firstLineChars="196"/>
        <w:rPr>
          <w:rFonts w:ascii="黑体" w:hAnsi="黑体" w:eastAsia="黑体"/>
          <w:bCs/>
          <w:sz w:val="32"/>
        </w:rPr>
      </w:pPr>
      <w:r>
        <w:rPr>
          <w:rFonts w:hint="eastAsia" w:ascii="黑体" w:hAnsi="黑体" w:eastAsia="黑体"/>
          <w:bCs/>
          <w:sz w:val="32"/>
        </w:rPr>
        <w:t xml:space="preserve">二、主要做法 </w:t>
      </w:r>
    </w:p>
    <w:p>
      <w:pPr>
        <w:spacing w:line="360" w:lineRule="auto"/>
        <w:ind w:firstLine="627" w:firstLineChars="196"/>
        <w:rPr>
          <w:rFonts w:ascii="楷体" w:hAnsi="楷体" w:eastAsia="楷体"/>
          <w:sz w:val="32"/>
        </w:rPr>
      </w:pPr>
      <w:r>
        <w:rPr>
          <w:rFonts w:hint="eastAsia" w:ascii="楷体" w:hAnsi="楷体" w:eastAsia="楷体"/>
          <w:sz w:val="32"/>
        </w:rPr>
        <w:t xml:space="preserve">（一）提高认识，积极作为，高质量推进服务标准化建设 </w:t>
      </w:r>
    </w:p>
    <w:p>
      <w:pPr>
        <w:spacing w:line="360" w:lineRule="auto"/>
        <w:ind w:firstLine="627" w:firstLineChars="196"/>
        <w:rPr>
          <w:rFonts w:ascii="仿宋" w:hAnsi="仿宋" w:eastAsia="仿宋"/>
          <w:sz w:val="32"/>
        </w:rPr>
      </w:pPr>
      <w:r>
        <w:rPr>
          <w:rFonts w:hint="eastAsia" w:ascii="仿宋" w:hAnsi="仿宋" w:eastAsia="仿宋"/>
          <w:sz w:val="32"/>
        </w:rPr>
        <w:t>济南舜耕山庄有泉城“国宾馆”的美誉，是济南市的会客厅，山庄服务质量直接影响到济南市的形象。山庄自成立以来就坚持规范管理的理念，制定了涉及内部管理、前台服务、监督考核等几百项规章制度，为山庄规范管理和持续发展奠定了良好基础。但是，随着经济社会的发展，新形势提出了新的发展要求，单纯依靠制度和检查等制约手段，不利于服务创新并保持高质量服务的稳定性。鉴于此，济南舜耕山庄认为非常有必要引入标准化的理念和管理手段，建立统一的服务标准和管理规范，不断提升集团服务质量。在此认识基础上，济南舜耕山庄逐级向市场监管系统提出了试点申请，先后被批准设立为省级和国家级服务业标准化试点，全面推进了服务业标准化建设工作。</w:t>
      </w:r>
    </w:p>
    <w:p>
      <w:pPr>
        <w:spacing w:line="360" w:lineRule="auto"/>
        <w:ind w:firstLine="627" w:firstLineChars="196"/>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领导重视，重点支持。服务标准化工作是一项系统工程，涉及集团服务和管理的方方面面，承建的国家级试点又是集星级酒店、商务会所和会展中心三个服务内容为一体的综合标准化的试点。因此，集团领导对服务标准化试点工作高度重视，把它提升到事关集团发展的战略高度来抓，并将xxxx年工作主题确定为“服务标准化年”。为确保试点工作的顺利开展，专门成立了以集团董事长、总经理为组长、集团各位副总经理为副组长、各部门经理为成员的“集团服务标准化工作领导小组”，设立了集团服务标准化管理办公室，安排专职人员负责集团的标准化工作。宾馆、会展、会所分别设有分支机构，负责各自的服务标准化试点工作。建立了集团、单位（部门）、班组“三级服务标准化工作督导网络”。集团总经理分别与各单位、部门负责人签订了“服务标准化试点工作承诺书”，将任务落实到人。这些措施为集团服务标准化试点工作的开展提供了强有力的组织保证。</w:t>
      </w:r>
    </w:p>
    <w:p>
      <w:pPr>
        <w:spacing w:line="360" w:lineRule="auto"/>
        <w:ind w:firstLine="627" w:firstLineChars="196"/>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精心组织，形成合力。为顺利推进标准化国家级试点工作，集团于xxxx年xx月召开了“服务标准化体系建设国家级试点工作动员大会”。集团董事长、总经理做了题为：“打造舜耕服务精品  创新性开展服务标准化试点工作”的动员报告，制定了《济南舜耕山庄集团服务标准化试点中长期规划》，集团上下标准化意识不断深化，试点建设工作全面启动。集团与济南市市场监管局联合成立了服务标准化建设领导小组，同时积极与山东大学、山东省旅游职业学院、山东省标准化研究院等单位的专业人员组成标准体系研究小组，全面实施标准的研究制定与体系编制工作。</w:t>
      </w:r>
    </w:p>
    <w:p>
      <w:pPr>
        <w:spacing w:line="360" w:lineRule="auto"/>
        <w:ind w:firstLine="627" w:firstLineChars="196"/>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多措并举，精心制定。一是对现有的各项规章制度进行全面梳理，按照“简化、统一、协调、优化”的原则，该合并的合并，该修订的修订，该废止的废止，该完善的完善，把符合工作实际并且运行成熟的制度，全部上升为标准的形式固定下来。</w:t>
      </w:r>
    </w:p>
    <w:p>
      <w:pPr>
        <w:spacing w:line="360" w:lineRule="auto"/>
        <w:ind w:firstLine="627" w:firstLineChars="196"/>
        <w:rPr>
          <w:rFonts w:ascii="仿宋" w:hAnsi="仿宋" w:eastAsia="仿宋"/>
          <w:sz w:val="32"/>
        </w:rPr>
      </w:pPr>
      <w:r>
        <w:rPr>
          <w:rFonts w:hint="eastAsia" w:ascii="仿宋" w:hAnsi="仿宋" w:eastAsia="仿宋"/>
          <w:sz w:val="32"/>
        </w:rPr>
        <w:t>二是结合各岗位服务流程、各管理事项运转要求，建立健全涵盖餐饮住宿、商务会所及会展的标准体系，不留标准“盲点”。</w:t>
      </w:r>
    </w:p>
    <w:p>
      <w:pPr>
        <w:spacing w:line="360" w:lineRule="auto"/>
        <w:ind w:firstLine="627" w:firstLineChars="196"/>
        <w:rPr>
          <w:rFonts w:ascii="仿宋" w:hAnsi="仿宋" w:eastAsia="仿宋"/>
          <w:sz w:val="32"/>
        </w:rPr>
      </w:pPr>
      <w:r>
        <w:rPr>
          <w:rFonts w:hint="eastAsia" w:ascii="仿宋" w:hAnsi="仿宋" w:eastAsia="仿宋"/>
          <w:sz w:val="32"/>
        </w:rPr>
        <w:t>三是反复推敲论证,努力确保每一项标准的科学性和适用性。特别对前台服务流程，标准内容力争做到“程序最简、效率最高、服务最优”。标准体系对ISO9001质量管理体系、ISO14001环境管理体系标准进行了有效融合。</w:t>
      </w:r>
    </w:p>
    <w:p>
      <w:pPr>
        <w:spacing w:line="360" w:lineRule="auto"/>
        <w:ind w:firstLine="627" w:firstLineChars="196"/>
        <w:rPr>
          <w:rFonts w:ascii="仿宋" w:hAnsi="仿宋" w:eastAsia="仿宋"/>
          <w:sz w:val="32"/>
        </w:rPr>
      </w:pPr>
      <w:r>
        <w:rPr>
          <w:rFonts w:hint="eastAsia" w:ascii="仿宋" w:hAnsi="仿宋" w:eastAsia="仿宋"/>
          <w:sz w:val="32"/>
        </w:rPr>
        <w:t>标准编写过程中，确定了领导牵头、全员参与的原则，分阶段召开“集团服务标准化研讨会”，集团领导和相关人员一起，就标准体系架构和标准文本的编写等具体问题进行深入研讨，对每一项标准文本进行逐条梳理评审，查漏补缺，逐步完善。标准制定过程中，不断创新工作方法。宾馆餐饮部及时将技术创新转化为标准，其将“吊笼装置、多功能刀架”等国家发明专利技术和“餐具恒温装置、卷帘式培训”等创新技术及时转化为标准并在集团内推广应用。会展中心将鲜明的企业文化特色和星级服务理念融入会展服务标准中，不断创新出具有会展行业特色的宾客服务项目。集团目前形成的标准体系包括1890项标准，覆盖舜耕山庄宾馆、商务会所、会展中心三部分。其中包括274项企业适用的法规和规章、33项企业适用的服务标准化法规和服务标准化管理规定、169项通用基础标准、409项服务保障标准、1005项服务提供标准，标准的覆盖率达到100%。标准化的推行，全员参与标准的制定，不仅规范了员工的工作行为，而且还激发了他们的创造性。不少员工内熟于标准，外发于自然，创造出一些更为便捷有效的服务流程。抓住这些闪光点，组织专门力量对其创造性的工作进行分解、细化、总结、推广。</w:t>
      </w:r>
    </w:p>
    <w:p>
      <w:pPr>
        <w:spacing w:line="360" w:lineRule="auto"/>
        <w:ind w:firstLine="627" w:firstLineChars="196"/>
        <w:rPr>
          <w:rFonts w:ascii="楷体" w:hAnsi="楷体" w:eastAsia="楷体"/>
          <w:sz w:val="32"/>
        </w:rPr>
      </w:pPr>
      <w:r>
        <w:rPr>
          <w:rFonts w:hint="eastAsia" w:ascii="楷体" w:hAnsi="楷体" w:eastAsia="楷体"/>
          <w:sz w:val="32"/>
        </w:rPr>
        <w:t xml:space="preserve">（二）求实创新，科学构建，建立完善的服务标准体系 </w:t>
      </w:r>
    </w:p>
    <w:p>
      <w:pPr>
        <w:spacing w:line="360" w:lineRule="auto"/>
        <w:ind w:firstLine="627" w:firstLineChars="196"/>
        <w:rPr>
          <w:rFonts w:ascii="仿宋" w:hAnsi="仿宋" w:eastAsia="仿宋"/>
          <w:sz w:val="32"/>
        </w:rPr>
      </w:pPr>
      <w:r>
        <w:rPr>
          <w:rFonts w:hint="eastAsia" w:ascii="仿宋" w:hAnsi="仿宋" w:eastAsia="仿宋"/>
          <w:sz w:val="32"/>
        </w:rPr>
        <w:t>济南舜耕山庄认识到，试点建设的核心任务是建立一套符合集团实际需要的标准体系并有效运行，同时这也是济南舜耕山庄开展标准化建设的内在需求，按服务需求制定和执行的上千项标准需要形成一个系统工程，建立科学的标准体系。</w:t>
      </w:r>
    </w:p>
    <w:p>
      <w:pPr>
        <w:spacing w:line="360" w:lineRule="auto"/>
        <w:ind w:firstLine="627" w:firstLineChars="196"/>
        <w:rPr>
          <w:rFonts w:ascii="仿宋" w:hAnsi="仿宋" w:eastAsia="仿宋"/>
          <w:sz w:val="32"/>
        </w:rPr>
      </w:pPr>
      <w:r>
        <w:rPr>
          <w:rFonts w:hint="eastAsia" w:ascii="仿宋" w:hAnsi="仿宋" w:eastAsia="仿宋"/>
          <w:sz w:val="32"/>
        </w:rPr>
        <w:t>标准制定过程中，济南舜耕山庄多方征求专家和社会各界的意见及建议，深刻领会GB/T 24421系列国家标准要求，结合实践不断修改完善，服务标准体系和标准内容前后修订了数次，最终形成了覆盖集团管理和服务全过程的标准体系，下设服务通用基础标准体系、服务保障标准体系和服务提供标准体系。</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服务通用基础标准体系。主要包括：标准化导则、标准体系编制原则，以及服务标准化工作指南、服务术语标准等169项基础标准，作为其他标准的基础，主要是指导怎样构建标准体系，如何制订、实施和改进标准，具有广泛的指导意义并普遍使用。</w:t>
      </w:r>
    </w:p>
    <w:p>
      <w:pPr>
        <w:spacing w:line="360" w:lineRule="auto"/>
        <w:ind w:firstLine="627" w:firstLineChars="196"/>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服务保障标准体系。服务保障标准体系是涉及领域最广的一个体系。该体系下设9个子体系，共计409项标准。分别对人力资源管理标准、财务管理标准、安全与应急标准、设施设备及用品标准、信息标准等所有管理事项进行了全面的规范。</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一是从人员管理上提供保障。对人员招聘、人员培训、人员考勤、薪酬管理等进行了规范。健全了《舜耕山庄集团招聘管理规定》、《济南舜耕山庄集团培训大纲》、《舜耕山庄集团薪酬管理规定》等标准。</w:t>
      </w:r>
    </w:p>
    <w:p>
      <w:pPr>
        <w:spacing w:line="360" w:lineRule="auto"/>
        <w:ind w:firstLine="627" w:firstLineChars="196"/>
        <w:rPr>
          <w:rFonts w:ascii="仿宋" w:hAnsi="仿宋" w:eastAsia="仿宋"/>
          <w:sz w:val="32"/>
        </w:rPr>
      </w:pPr>
      <w:r>
        <w:rPr>
          <w:rFonts w:hint="eastAsia" w:ascii="仿宋" w:hAnsi="仿宋" w:eastAsia="仿宋"/>
          <w:sz w:val="32"/>
        </w:rPr>
        <w:t>二是从环境上进行保障。建立了设备和基础设施管理、环境保护管理等标准体系，形成了完善的硬件环境、人文环境管理标准系统，为服务提供标准的顺利运行提供了环境保障。</w:t>
      </w:r>
    </w:p>
    <w:p>
      <w:pPr>
        <w:spacing w:line="360" w:lineRule="auto"/>
        <w:ind w:firstLine="627" w:firstLineChars="196"/>
        <w:rPr>
          <w:rFonts w:ascii="仿宋" w:hAnsi="仿宋" w:eastAsia="仿宋"/>
          <w:sz w:val="32"/>
        </w:rPr>
      </w:pPr>
      <w:r>
        <w:rPr>
          <w:rFonts w:hint="eastAsia" w:ascii="仿宋" w:hAnsi="仿宋" w:eastAsia="仿宋"/>
          <w:sz w:val="32"/>
        </w:rPr>
        <w:t>三是从内部运行机制上进行保障。建立完善了信息管理、能源管理、财务管理标准和后勤保障管理标准等一系列标准，使内部运行的各个环节都得到了有效规范，管理工作井然有序。</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3</w:t>
      </w:r>
      <w:r>
        <w:rPr>
          <w:rFonts w:hint="eastAsia" w:ascii="仿宋" w:hAnsi="仿宋" w:eastAsia="仿宋"/>
          <w:sz w:val="32"/>
          <w:lang w:eastAsia="zh-CN"/>
        </w:rPr>
        <w:t>.</w:t>
      </w:r>
      <w:r>
        <w:rPr>
          <w:rFonts w:hint="eastAsia" w:ascii="仿宋" w:hAnsi="仿宋" w:eastAsia="仿宋"/>
          <w:sz w:val="32"/>
        </w:rPr>
        <w:t>服务提供标准体系。服务提供标准体系由服务规范、服务提供规范、服务质量控制规范、运行管理规范、服务评价与改进标准5个子体系组成，是整个标准体系的核心，共包含1005项标准。结合工作实际，细化了《舜耕山庄集团前厅细微服务标准》《舜耕山庄集团餐饮细微服务标准》《舜耕山庄集团客房细微服务标准》《舜耕山庄集团会议细微服务标准》等标准。同时，各部门结合日常接待工作，提炼出主要业务流程。如：《前厅部大堂副理VIP接待服务流程》《营销部信息收集服务流程》《餐饮部宴会服务流程》《客房清扫服务流程》《贵宾楼总台行李服务流程》等标准。通过服务提供标准的梳理和整合，充分满足了服务的功能性、文明性、舒适性、时间性、经济性、安全性等六大特性的要求。</w:t>
      </w:r>
    </w:p>
    <w:p>
      <w:pPr>
        <w:spacing w:line="360" w:lineRule="auto"/>
        <w:ind w:firstLine="627" w:firstLineChars="196"/>
        <w:rPr>
          <w:rFonts w:ascii="楷体" w:hAnsi="楷体" w:eastAsia="楷体"/>
          <w:sz w:val="32"/>
        </w:rPr>
      </w:pPr>
      <w:r>
        <w:rPr>
          <w:rFonts w:hint="eastAsia" w:ascii="楷体" w:hAnsi="楷体" w:eastAsia="楷体"/>
          <w:sz w:val="32"/>
        </w:rPr>
        <w:t>（三）加强贯标，狠抓落实，大力提升服务标准化成效</w:t>
      </w:r>
    </w:p>
    <w:p>
      <w:pPr>
        <w:spacing w:line="360" w:lineRule="auto"/>
        <w:ind w:firstLine="627" w:firstLineChars="196"/>
        <w:rPr>
          <w:rFonts w:ascii="仿宋" w:hAnsi="仿宋" w:eastAsia="仿宋"/>
          <w:sz w:val="32"/>
        </w:rPr>
      </w:pPr>
      <w:r>
        <w:rPr>
          <w:rFonts w:hint="eastAsia" w:ascii="仿宋" w:hAnsi="仿宋" w:eastAsia="仿宋"/>
          <w:sz w:val="32"/>
        </w:rPr>
        <w:t>1</w:t>
      </w:r>
      <w:r>
        <w:rPr>
          <w:rFonts w:hint="eastAsia" w:ascii="仿宋" w:hAnsi="仿宋" w:eastAsia="仿宋"/>
          <w:sz w:val="32"/>
          <w:lang w:eastAsia="zh-CN"/>
        </w:rPr>
        <w:t>.</w:t>
      </w:r>
      <w:r>
        <w:rPr>
          <w:rFonts w:hint="eastAsia" w:ascii="仿宋" w:hAnsi="仿宋" w:eastAsia="仿宋"/>
          <w:sz w:val="32"/>
        </w:rPr>
        <w:t>大力宣传，强化培训。试点建设工作以来，集团不断加大标准化的宣传培训工作，从标准基础知识入手，聘请省内有关专家对全员进行服务标准化基础知识培训，积极参加各类标准化专业知识培训，集团14名工作人员取得了标准化检查员证书。集团开办了服务标准化工作信息平台，设立了服务标准化组织机构、服务标准体系架构、服务标准化工作成果、服务标准化实施动态等栏目，将各类服务标准化信息在网站上及时公布，既提高了服务标准化工作透明度，又加强了集团服务标准化工作对外的及时宣传。充分利用宣传栏、局域网以及《舜耕信息》《舜耕山庄报》《会展报》《重华嘉宾报》等载体进行宣传教育，全方位普及服务标准化知识，营造全员参与的浓厚的工作氛围。并多次组织相关人员，到服务业标准化工作水平高、效果好的试点示范单位参观学习，不断改进完善集团的服务标准化工作。使集团服务标准化深入人心，取得良好效果。</w:t>
      </w:r>
    </w:p>
    <w:p>
      <w:pPr>
        <w:spacing w:line="360" w:lineRule="auto"/>
        <w:ind w:firstLine="627" w:firstLineChars="196"/>
        <w:rPr>
          <w:rFonts w:ascii="仿宋" w:hAnsi="仿宋" w:eastAsia="仿宋"/>
          <w:sz w:val="32"/>
        </w:rPr>
      </w:pPr>
      <w:r>
        <w:rPr>
          <w:rFonts w:hint="eastAsia" w:ascii="仿宋" w:hAnsi="仿宋" w:eastAsia="仿宋"/>
          <w:sz w:val="32"/>
        </w:rPr>
        <w:t>为了确保培训实效，集团在培训方式上不断创新，采用寓教于乐的方式，通过开展“微笑之星”“服务明星”专项评选和“服务礼仪大赛”“舜耕山庄集团服务标准化知识竞赛”等各类竞赛活动，不断提高员工对各类重要标准的熟知熟用程度。开展了“提升服务品质、强化服务技能”“创建集团金牌优秀班组”“服务质量暗访”等质量提升活动。将每年的3月份定为“集团优质服务月”。这些主题活动内容涵盖了“星级标准”“好客山东旅游服务标准”“绿色饭店评定标准”“中国酒店服务礼仪”“星级访查标准”以及“集团服务标准化六常法”“员工手册”等诸多标准。诸类活动的开展，进一步加深了员工对标准的理解和应用，宣传培训方式深受广大员工的欢迎，实实在在地用标准化解决了服务业人员文化素质低、流动率快、培训难度大的问题，夯实了服务基础。</w:t>
      </w:r>
    </w:p>
    <w:p>
      <w:pPr>
        <w:spacing w:line="360" w:lineRule="auto"/>
        <w:ind w:firstLine="627" w:firstLineChars="196"/>
        <w:rPr>
          <w:rFonts w:ascii="仿宋" w:hAnsi="仿宋" w:eastAsia="仿宋"/>
          <w:sz w:val="32"/>
        </w:rPr>
      </w:pPr>
      <w:r>
        <w:rPr>
          <w:rFonts w:hint="eastAsia" w:ascii="仿宋" w:hAnsi="仿宋" w:eastAsia="仿宋"/>
          <w:sz w:val="32"/>
        </w:rPr>
        <w:t>2</w:t>
      </w:r>
      <w:r>
        <w:rPr>
          <w:rFonts w:hint="eastAsia" w:ascii="仿宋" w:hAnsi="仿宋" w:eastAsia="仿宋"/>
          <w:sz w:val="32"/>
          <w:lang w:eastAsia="zh-CN"/>
        </w:rPr>
        <w:t>.</w:t>
      </w:r>
      <w:r>
        <w:rPr>
          <w:rFonts w:hint="eastAsia" w:ascii="仿宋" w:hAnsi="仿宋" w:eastAsia="仿宋"/>
          <w:sz w:val="32"/>
        </w:rPr>
        <w:t>创新实施、注重实效。标准化工作的推进，关键在标准的有效实施和运行。为保证标准实施到位、取得实效，济南舜耕山庄结合工作实际，不断进行创新，保证各项标准要求切实落实到位。</w:t>
      </w:r>
    </w:p>
    <w:p>
      <w:pPr>
        <w:spacing w:line="360" w:lineRule="auto"/>
        <w:ind w:firstLine="627" w:firstLineChars="196"/>
        <w:rPr>
          <w:rFonts w:ascii="仿宋" w:hAnsi="仿宋" w:eastAsia="仿宋"/>
          <w:sz w:val="32"/>
        </w:rPr>
      </w:pPr>
      <w:r>
        <w:rPr>
          <w:rFonts w:hint="eastAsia" w:ascii="仿宋" w:hAnsi="仿宋" w:eastAsia="仿宋"/>
          <w:sz w:val="32"/>
        </w:rPr>
        <w:t>一是同规划计划相结合，对服务标准化工作实行计划管理，将每个阶段进程进行细化和量化，从集团到各部门、各班组，制定出各个阶段共16个“服务标准化工作配档表”，逐级落实。定期对落实情况进行监督检查和通报，确保每项工作责任、时限、效果到人。</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二是同“常分类、常整理、常清洁、常维护、常规范、常教育”的六常管理法相结合，创新服务标准化现场管理模式。将服务标准化与“六常法”相结合，用图文并茂的形式将标准内容在工作现场展现出来，把每个岗位、每个区域工作流程图上墙，在方便员工掌握的同时，告知员工“做什么？”“怎么做？”“做到什么程度？”“各相关工序间怎样衔接？”使每个服务人员言行有规矩、工作有程序、操作有原则、服务有标准。进一步加深了员工对标准的理解和应用，创新了一套科学实用的“服务标准化六常管理法”现场管理模式。</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三是同员工绩效考核相结合，创新服务标准化激励机制。在集团范围全面推行了服务标准化绩效百分考核工作。即：将各个岗位员工的各项工作标准进行量化、细化，以100分制对每位员工的日常工作按月度进行考核，考核结果与每月绩效工资挂钩。部分岗位进一步提炼出员工每月、每周、每日必做事宜，突出了工作重点、增加了工作透明度，加强了团队执行力。同时，集团每年拿出60余万元作为与服务标准化百分考核激励基金，进一步调动了全员积极性。</w:t>
      </w:r>
    </w:p>
    <w:p>
      <w:pPr>
        <w:spacing w:line="360" w:lineRule="auto"/>
        <w:ind w:firstLine="627" w:firstLineChars="196"/>
        <w:rPr>
          <w:rFonts w:ascii="仿宋" w:hAnsi="仿宋" w:eastAsia="仿宋"/>
          <w:sz w:val="32"/>
        </w:rPr>
      </w:pPr>
      <w:r>
        <w:rPr>
          <w:rFonts w:hint="eastAsia" w:ascii="仿宋" w:hAnsi="仿宋" w:eastAsia="仿宋"/>
          <w:sz w:val="32"/>
        </w:rPr>
        <w:t>四是同监督检查相结合，创新服务标准化评价模式。集团为使服务标准化工作评价更加符合实际，遵循“以宾客为关注焦点”的服务准则，采用了“宾客满意度调查”、电话回访、客户评价、暗访等多种形式，定期征求宾客意见，不断改进服务方式、完善工作流程、提升服务品质。xxxx年，聘请第三方省旅游职业学院相关专家对集团服务标准化进行了满意度调查，宾客满意率达97.52%。通过创新实施机制，集团上下形成了“事事有标准、时时讲标准、人人用标准、简便查标准”的氛围。标准的实施率达到100% 。</w:t>
      </w:r>
    </w:p>
    <w:p>
      <w:pPr>
        <w:spacing w:line="360" w:lineRule="auto"/>
        <w:ind w:firstLine="627" w:firstLineChars="196"/>
        <w:rPr>
          <w:rFonts w:ascii="黑体" w:hAnsi="黑体" w:eastAsia="黑体"/>
          <w:sz w:val="32"/>
        </w:rPr>
      </w:pPr>
      <w:r>
        <w:rPr>
          <w:rFonts w:hint="eastAsia" w:ascii="黑体" w:hAnsi="黑体" w:eastAsia="黑体"/>
          <w:sz w:val="32"/>
        </w:rPr>
        <w:t xml:space="preserve">三、服务标准化工作成效显著 </w:t>
      </w:r>
    </w:p>
    <w:p>
      <w:pPr>
        <w:spacing w:line="360" w:lineRule="auto"/>
        <w:ind w:firstLine="627" w:firstLineChars="196"/>
        <w:rPr>
          <w:rFonts w:ascii="楷体" w:hAnsi="楷体" w:eastAsia="楷体"/>
          <w:sz w:val="32"/>
        </w:rPr>
      </w:pPr>
      <w:r>
        <w:rPr>
          <w:rFonts w:hint="eastAsia" w:ascii="楷体" w:hAnsi="楷体" w:eastAsia="楷体"/>
          <w:sz w:val="32"/>
        </w:rPr>
        <w:t>（一）开拓创新鲁菜标准化工作</w:t>
      </w:r>
    </w:p>
    <w:p>
      <w:pPr>
        <w:spacing w:line="360" w:lineRule="auto"/>
        <w:ind w:firstLine="627" w:firstLineChars="196"/>
        <w:rPr>
          <w:rFonts w:ascii="仿宋" w:hAnsi="仿宋" w:eastAsia="仿宋"/>
          <w:sz w:val="32"/>
        </w:rPr>
      </w:pPr>
      <w:r>
        <w:rPr>
          <w:rFonts w:hint="eastAsia" w:ascii="仿宋" w:hAnsi="仿宋" w:eastAsia="仿宋"/>
          <w:sz w:val="32"/>
        </w:rPr>
        <w:t>在试点创建过程中，济南舜耕山庄充分利用自身鲁菜制作的正宗优势，大胆地将标准化引入鲁菜中，提出用标准记录鲁菜、用标准传承鲁菜文化的理念，开创了鲁菜标准化工作先河。先后主持制定了《鲁菜标准体系》《鲁菜 葱烧海参》《鲁菜 黄焖鱼翅》等21个鲁菜地方标准。在省市场监管局、省旅游局领导的大力支持下，集团投资600余万元建成了首家鲁菜馆旗舰店——“舜耕山庄鲁菜馆”，成为山东首家利用标准规范建设和管理的精品鲁菜馆，使得鲁菜标准有了更为规范的实施载体。xxxx年，经山东省质量技术监督局批准，集团与山东省烹饪协会共同承担“山东省服务标准化鲁菜分技术委员会”秘书处工作，技术委员会按照《鲁菜标准体系》框架，有计划地组织鲁菜标准制定工作。</w:t>
      </w:r>
    </w:p>
    <w:p>
      <w:pPr>
        <w:spacing w:line="360" w:lineRule="auto"/>
        <w:ind w:firstLine="627" w:firstLineChars="196"/>
        <w:rPr>
          <w:rFonts w:ascii="楷体" w:hAnsi="楷体" w:eastAsia="楷体"/>
          <w:sz w:val="32"/>
        </w:rPr>
      </w:pPr>
      <w:r>
        <w:rPr>
          <w:rFonts w:hint="eastAsia" w:ascii="楷体" w:hAnsi="楷体" w:eastAsia="楷体"/>
          <w:sz w:val="32"/>
        </w:rPr>
        <w:t xml:space="preserve">（二）构筑会展服务标准化社会平台 </w:t>
      </w:r>
    </w:p>
    <w:p>
      <w:pPr>
        <w:spacing w:line="360" w:lineRule="auto"/>
        <w:ind w:firstLine="627" w:firstLineChars="196"/>
        <w:rPr>
          <w:rFonts w:ascii="仿宋" w:hAnsi="仿宋" w:eastAsia="仿宋"/>
          <w:sz w:val="32"/>
        </w:rPr>
      </w:pPr>
      <w:r>
        <w:rPr>
          <w:rFonts w:hint="eastAsia" w:ascii="仿宋" w:hAnsi="仿宋" w:eastAsia="仿宋"/>
          <w:sz w:val="32"/>
        </w:rPr>
        <w:t>标准为集团会展中心建立与国际接轨的管理和发展模式提供了技术依据和支撑。 xxxx年，集团会展中心牵头编制了《会议与展览服务规范》省级地方标准，该标准成为指导山东会展业发展的技术依据。xxxx年经省市场监管局批准，我集团与山东省会展行业协会共同承担“山东省服务标准化会展业分技术委员会”秘书处工作。通过推进标准化会展服务，集团会展中心积累了一套科学的会展服务标准化模式，并在此基础上控股成立了山东省会展管理公司，输出标准管理和服务模式，管理了济南国际会展中心，增加场馆面积5.5万平方米、展位3000个，盘活了济南市会展业资源。xxxx年，集团运用标准的服务流程和规范成功承办了第四届全国糖酒会。通过推行会展标准化，我集团已成功进行管理和服务的模式输出，构筑起会展标准化服务的社会平台。</w:t>
      </w:r>
    </w:p>
    <w:p>
      <w:pPr>
        <w:spacing w:line="360" w:lineRule="auto"/>
        <w:ind w:firstLine="627" w:firstLineChars="196"/>
        <w:rPr>
          <w:rFonts w:ascii="楷体" w:hAnsi="楷体" w:eastAsia="楷体"/>
          <w:sz w:val="32"/>
        </w:rPr>
      </w:pPr>
      <w:r>
        <w:rPr>
          <w:rFonts w:hint="eastAsia" w:ascii="楷体" w:hAnsi="楷体" w:eastAsia="楷体"/>
          <w:sz w:val="32"/>
        </w:rPr>
        <w:t xml:space="preserve">（三）建立服务标准化“产学研”教学基地 </w:t>
      </w:r>
    </w:p>
    <w:p>
      <w:pPr>
        <w:spacing w:line="360" w:lineRule="auto"/>
        <w:ind w:firstLine="627" w:firstLineChars="196"/>
        <w:rPr>
          <w:rFonts w:ascii="仿宋" w:hAnsi="仿宋" w:eastAsia="仿宋"/>
          <w:sz w:val="32"/>
        </w:rPr>
      </w:pPr>
      <w:r>
        <w:rPr>
          <w:rFonts w:hint="eastAsia" w:ascii="仿宋" w:hAnsi="仿宋" w:eastAsia="仿宋"/>
          <w:sz w:val="32"/>
        </w:rPr>
        <w:t>集团与山东省旅游职业学院签订了“战略合作协议”，将服务标准化纳入到学院的教学计划中，集团成为省旅游学院的首家“产、学、研”教学基地，开展了一系列教学研究工作。如：xxxx年月，商务会所承担的岗位服务标准化“产、学、研”课题，将会所岗位服务标准编辑成册，拍摄成礼仪服务标准化影像教材，深受学员欢迎。xxx年，借助集团服务标准化教学基地的优势，组织了8个科目，培训员工6000余人次。目前，集团同山东工会干部管理学院、山东协和职业学院都签订了“战略合作协议”，继续扩大服务标准化“产学研”教学基地规模。</w:t>
      </w:r>
      <w:r>
        <w:rPr>
          <w:rFonts w:ascii="仿宋" w:hAnsi="仿宋" w:eastAsia="仿宋"/>
          <w:sz w:val="32"/>
        </w:rPr>
        <w:t xml:space="preserve"> </w:t>
      </w:r>
    </w:p>
    <w:p>
      <w:pPr>
        <w:spacing w:line="360" w:lineRule="auto"/>
        <w:ind w:firstLine="627" w:firstLineChars="196"/>
        <w:rPr>
          <w:rFonts w:ascii="楷体" w:hAnsi="楷体" w:eastAsia="楷体"/>
          <w:sz w:val="32"/>
        </w:rPr>
      </w:pPr>
      <w:r>
        <w:rPr>
          <w:rFonts w:hint="eastAsia" w:ascii="楷体" w:hAnsi="楷体" w:eastAsia="楷体"/>
          <w:sz w:val="32"/>
        </w:rPr>
        <w:t xml:space="preserve">（四）输出管理工作迈出了实质性的步伐 </w:t>
      </w:r>
    </w:p>
    <w:p>
      <w:pPr>
        <w:spacing w:line="360" w:lineRule="auto"/>
        <w:ind w:firstLine="627" w:firstLineChars="196"/>
        <w:rPr>
          <w:rFonts w:ascii="仿宋" w:hAnsi="仿宋" w:eastAsia="仿宋"/>
          <w:sz w:val="32"/>
        </w:rPr>
      </w:pPr>
      <w:r>
        <w:rPr>
          <w:rFonts w:hint="eastAsia" w:ascii="仿宋" w:hAnsi="仿宋" w:eastAsia="仿宋"/>
          <w:sz w:val="32"/>
        </w:rPr>
        <w:t>集团运用服务标准化输出管理模式，用标准化探索出一条品牌扩张的成功之路。近两年来，先后委托管理了商河温泉度假村（四星级）、舜元大酒店、舜耕南山庄园等中高档酒店。这些酒店均采用了服务标准化的管理模式进行运营，管理水平、服务质量稳步提高，经营收入快速增长，成为集团新的经济增长点，为舜耕品牌注入了新的活力。</w:t>
      </w:r>
      <w:r>
        <w:rPr>
          <w:rFonts w:ascii="仿宋" w:hAnsi="仿宋" w:eastAsia="仿宋"/>
          <w:sz w:val="32"/>
        </w:rPr>
        <w:t xml:space="preserve"> </w:t>
      </w:r>
    </w:p>
    <w:p>
      <w:pPr>
        <w:spacing w:line="360" w:lineRule="auto"/>
        <w:ind w:firstLine="627" w:firstLineChars="196"/>
        <w:rPr>
          <w:rFonts w:ascii="楷体" w:hAnsi="楷体" w:eastAsia="楷体"/>
          <w:sz w:val="32"/>
        </w:rPr>
      </w:pPr>
      <w:r>
        <w:rPr>
          <w:rFonts w:hint="eastAsia" w:ascii="楷体" w:hAnsi="楷体" w:eastAsia="楷体"/>
          <w:sz w:val="32"/>
        </w:rPr>
        <w:t>（五）经营环境持续改善，经济效益不断提升</w:t>
      </w:r>
    </w:p>
    <w:p>
      <w:pPr>
        <w:spacing w:line="360" w:lineRule="auto"/>
        <w:ind w:firstLine="627" w:firstLineChars="196"/>
        <w:rPr>
          <w:rFonts w:ascii="仿宋" w:hAnsi="仿宋" w:eastAsia="仿宋"/>
          <w:sz w:val="32"/>
        </w:rPr>
      </w:pPr>
      <w:r>
        <w:rPr>
          <w:rFonts w:hint="eastAsia" w:ascii="仿宋" w:hAnsi="仿宋" w:eastAsia="仿宋"/>
          <w:sz w:val="32"/>
        </w:rPr>
        <w:t>国家级服务业标准化试点建设工作以来，集团累计投入近2亿元，用于改善经营环境，转换经营结构。更新改造客房92间；新建扩建改造餐厅、宴会厅78间；园林绿化新添景观石、新栽名贵树木百余株；投资4000余万元新建近万平方米的综合楼——拱北楼已投入使用，增加出租写字间面积近6000平方米；对贵宾楼投资600万元进行更新改造；投资8000万元，完成了对舜华园写字间的收购，集团增加资产面积近万平方米；这些举措大大改善了经营条件，提高了服务品质，为提升集团抗风险能力、增加发展后劲奠定了坚实的基础。</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三年来，共接待各种会议2200余个，运用标准的服务流程和规范的工作标准，圆满地完成了十一运媒体村、园博会的重要接待任务，成功承办了第四届全国秋季糖酒会等。所有这些活动的成功接待，为舜耕品牌增光添彩。</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集团营业收入连年提高，经济效益不断增加，xxxx年营业收入1.7亿元；xxxx年营业收入突破两亿元；xxxx年营业收入达2.3亿元，每年都超额完成经营目标；今年上半年同比又提高14.53%。</w:t>
      </w:r>
      <w:r>
        <w:rPr>
          <w:rFonts w:ascii="仿宋" w:hAnsi="仿宋" w:eastAsia="仿宋"/>
          <w:sz w:val="32"/>
        </w:rPr>
        <w:t xml:space="preserve"> </w:t>
      </w:r>
    </w:p>
    <w:p>
      <w:pPr>
        <w:spacing w:line="360" w:lineRule="auto"/>
        <w:ind w:firstLine="627" w:firstLineChars="196"/>
        <w:rPr>
          <w:rFonts w:ascii="仿宋" w:hAnsi="仿宋" w:eastAsia="仿宋"/>
          <w:sz w:val="32"/>
        </w:rPr>
      </w:pPr>
      <w:r>
        <w:rPr>
          <w:rFonts w:hint="eastAsia" w:ascii="仿宋" w:hAnsi="仿宋" w:eastAsia="仿宋"/>
          <w:sz w:val="32"/>
        </w:rPr>
        <w:t>通过全面推行服务标准化试点工作，集团发展的协调性和可持续性进一步增强。服务标准化试点的过程，不仅是一个技术创新的过程，更是一个更新服务观念，不断创新服务机制的过程；是实现“服务质量目标化、服务方法规范化、服务过程程序化”的重要途径。经过不断试点和创新，集团的服务标准化工作日渐成熟、规模不断扩大、管理日臻完善、服务质量稳步提升、营业收入连年增长，在管理和服务上位于国内同行业先进水平。</w:t>
      </w: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rPr>
          <w:rFonts w:ascii="仿宋" w:hAnsi="仿宋" w:eastAsia="仿宋"/>
          <w:sz w:val="32"/>
        </w:rPr>
      </w:pPr>
    </w:p>
    <w:p>
      <w:pPr>
        <w:pStyle w:val="2"/>
        <w:jc w:val="center"/>
        <w:rPr>
          <w:rFonts w:ascii="仿宋" w:hAnsi="仿宋" w:eastAsia="仿宋"/>
          <w:sz w:val="32"/>
          <w:szCs w:val="32"/>
        </w:rPr>
      </w:pPr>
      <w:bookmarkStart w:id="68" w:name="_Toc962806587"/>
      <w:bookmarkStart w:id="69" w:name="_Toc87536643"/>
      <w:r>
        <w:rPr>
          <w:rFonts w:hint="eastAsia" w:ascii="方正小标宋简体" w:hAnsi="黑体" w:eastAsia="方正小标宋简体"/>
          <w:b w:val="0"/>
          <w:bCs w:val="0"/>
          <w:lang w:eastAsia="zh-CN"/>
        </w:rPr>
        <w:t>试点参考</w:t>
      </w:r>
      <w:r>
        <w:rPr>
          <w:rFonts w:hint="eastAsia" w:ascii="方正小标宋简体" w:hAnsi="黑体" w:eastAsia="方正小标宋简体"/>
          <w:b w:val="0"/>
          <w:bCs w:val="0"/>
        </w:rPr>
        <w:t>资料</w:t>
      </w:r>
      <w:bookmarkEnd w:id="68"/>
      <w:bookmarkEnd w:id="69"/>
    </w:p>
    <w:p>
      <w:pPr>
        <w:spacing w:line="594" w:lineRule="exact"/>
        <w:ind w:firstLine="640" w:firstLineChars="200"/>
        <w:jc w:val="left"/>
        <w:rPr>
          <w:rFonts w:ascii="黑体" w:hAnsi="黑体" w:eastAsia="黑体"/>
          <w:sz w:val="32"/>
          <w:szCs w:val="32"/>
        </w:rPr>
      </w:pPr>
      <w:r>
        <w:rPr>
          <w:rFonts w:hint="eastAsia" w:ascii="黑体" w:hAnsi="黑体" w:eastAsia="黑体"/>
          <w:sz w:val="32"/>
          <w:szCs w:val="32"/>
        </w:rPr>
        <w:t>一、商务领域标准化管理办法</w:t>
      </w:r>
    </w:p>
    <w:p>
      <w:pPr>
        <w:spacing w:line="594" w:lineRule="exact"/>
        <w:ind w:firstLine="640" w:firstLineChars="200"/>
        <w:jc w:val="left"/>
        <w:rPr>
          <w:rFonts w:ascii="黑体" w:hAnsi="黑体" w:eastAsia="黑体"/>
          <w:sz w:val="32"/>
          <w:szCs w:val="32"/>
        </w:rPr>
      </w:pPr>
      <w:r>
        <w:rPr>
          <w:rFonts w:hint="eastAsia" w:ascii="黑体" w:hAnsi="黑体" w:eastAsia="黑体"/>
          <w:sz w:val="32"/>
          <w:szCs w:val="32"/>
        </w:rPr>
        <w:t>二、商务部关于加强“十四五”时期商务领域标准化建设的指导意见</w:t>
      </w:r>
    </w:p>
    <w:p>
      <w:pPr>
        <w:spacing w:line="594" w:lineRule="exact"/>
        <w:ind w:firstLine="640" w:firstLineChars="200"/>
        <w:jc w:val="left"/>
        <w:rPr>
          <w:rFonts w:ascii="黑体" w:hAnsi="黑体" w:eastAsia="黑体"/>
          <w:sz w:val="32"/>
          <w:szCs w:val="32"/>
        </w:rPr>
      </w:pPr>
      <w:r>
        <w:rPr>
          <w:rFonts w:hint="eastAsia" w:ascii="黑体" w:hAnsi="黑体" w:eastAsia="黑体"/>
          <w:sz w:val="32"/>
          <w:szCs w:val="32"/>
        </w:rPr>
        <w:t>三、商务领域（S</w:t>
      </w:r>
      <w:r>
        <w:rPr>
          <w:rFonts w:ascii="黑体" w:hAnsi="黑体" w:eastAsia="黑体"/>
          <w:sz w:val="32"/>
          <w:szCs w:val="32"/>
        </w:rPr>
        <w:t>B</w:t>
      </w:r>
      <w:r>
        <w:rPr>
          <w:rFonts w:hint="eastAsia" w:ascii="黑体" w:hAnsi="黑体" w:eastAsia="黑体"/>
          <w:sz w:val="32"/>
          <w:szCs w:val="32"/>
        </w:rPr>
        <w:t>、W</w:t>
      </w:r>
      <w:r>
        <w:rPr>
          <w:rFonts w:ascii="黑体" w:hAnsi="黑体" w:eastAsia="黑体"/>
          <w:sz w:val="32"/>
          <w:szCs w:val="32"/>
        </w:rPr>
        <w:t>M</w:t>
      </w:r>
      <w:r>
        <w:rPr>
          <w:rFonts w:hint="eastAsia" w:ascii="黑体" w:hAnsi="黑体" w:eastAsia="黑体"/>
          <w:sz w:val="32"/>
          <w:szCs w:val="32"/>
        </w:rPr>
        <w:t>）行业标准管理范围</w:t>
      </w:r>
    </w:p>
    <w:p>
      <w:pPr>
        <w:spacing w:line="594" w:lineRule="exact"/>
        <w:ind w:firstLine="640" w:firstLineChars="200"/>
        <w:jc w:val="left"/>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eastAsia="zh-CN"/>
        </w:rPr>
        <w:t>商务领域相关标准参考目录</w:t>
      </w: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spacing w:line="360" w:lineRule="auto"/>
        <w:ind w:firstLine="627" w:firstLineChars="196"/>
        <w:rPr>
          <w:rFonts w:ascii="仿宋" w:hAnsi="仿宋" w:eastAsia="仿宋"/>
          <w:sz w:val="32"/>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rPr>
      </w:pPr>
      <w:bookmarkStart w:id="70" w:name="_Toc1538243211"/>
      <w:r>
        <w:rPr>
          <w:rFonts w:hint="eastAsia" w:ascii="方正小标宋简体" w:hAnsi="方正小标宋简体" w:eastAsia="方正小标宋简体" w:cs="方正小标宋简体"/>
          <w:b w:val="0"/>
          <w:bCs w:val="0"/>
        </w:rPr>
        <w:t>商务领域标准化管理办法</w:t>
      </w:r>
      <w:bookmarkEnd w:id="70"/>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(送审稿）</w:t>
      </w:r>
    </w:p>
    <w:p>
      <w:pPr>
        <w:bidi w:val="0"/>
        <w:jc w:val="center"/>
        <w:rPr>
          <w:rFonts w:hint="eastAsia"/>
          <w:b w:val="0"/>
          <w:bCs w:val="0"/>
          <w:sz w:val="32"/>
          <w:szCs w:val="32"/>
        </w:rPr>
      </w:pPr>
      <w:r>
        <w:rPr>
          <w:rFonts w:hint="eastAsia" w:ascii="黑体" w:hAnsi="黑体" w:eastAsia="黑体" w:cs="黑体"/>
          <w:b w:val="0"/>
          <w:bCs w:val="0"/>
          <w:sz w:val="32"/>
          <w:szCs w:val="32"/>
        </w:rPr>
        <w:t>第一章 总则</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第一条 为加强商务领域标准化工作，提高商务领域经营、管理、服务及安全保障水平，根据《中华人民共和国标准化法》等有关法律法规，制定本办法。</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rPr>
        <w:t xml:space="preserve">第二条 </w:t>
      </w:r>
      <w:r>
        <w:rPr>
          <w:rFonts w:hint="eastAsia" w:ascii="仿宋_GB2312" w:eastAsia="仿宋_GB2312"/>
          <w:b w:val="0"/>
          <w:bCs w:val="0"/>
          <w:color w:val="000000"/>
          <w:sz w:val="32"/>
          <w:szCs w:val="32"/>
          <w:lang w:eastAsia="zh-CN"/>
        </w:rPr>
        <w:t>本办法所称</w:t>
      </w:r>
      <w:r>
        <w:rPr>
          <w:rFonts w:hint="eastAsia" w:ascii="仿宋_GB2312" w:eastAsia="仿宋_GB2312"/>
          <w:b w:val="0"/>
          <w:bCs w:val="0"/>
          <w:color w:val="000000"/>
          <w:sz w:val="32"/>
          <w:szCs w:val="32"/>
        </w:rPr>
        <w:t>商务领域</w:t>
      </w:r>
      <w:r>
        <w:rPr>
          <w:rFonts w:hint="eastAsia" w:ascii="仿宋_GB2312" w:eastAsia="仿宋_GB2312"/>
          <w:b w:val="0"/>
          <w:bCs w:val="0"/>
          <w:color w:val="000000"/>
          <w:sz w:val="32"/>
          <w:szCs w:val="32"/>
          <w:lang w:eastAsia="zh-CN"/>
        </w:rPr>
        <w:t>标准，是指商务部职责范围内的</w:t>
      </w:r>
      <w:r>
        <w:rPr>
          <w:rFonts w:hint="eastAsia" w:ascii="仿宋_GB2312" w:eastAsia="仿宋_GB2312"/>
          <w:b w:val="0"/>
          <w:bCs w:val="0"/>
          <w:color w:val="000000"/>
          <w:sz w:val="32"/>
          <w:szCs w:val="32"/>
        </w:rPr>
        <w:t>国家标准</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行业标准</w:t>
      </w:r>
      <w:r>
        <w:rPr>
          <w:rFonts w:hint="eastAsia" w:ascii="仿宋_GB2312" w:eastAsia="仿宋_GB2312"/>
          <w:b w:val="0"/>
          <w:bCs w:val="0"/>
          <w:color w:val="000000"/>
          <w:sz w:val="32"/>
          <w:szCs w:val="32"/>
          <w:lang w:eastAsia="zh-CN"/>
        </w:rPr>
        <w:t>和标准化指导性技术文件。</w:t>
      </w:r>
      <w:r>
        <w:rPr>
          <w:rFonts w:hint="eastAsia" w:ascii="仿宋_GB2312" w:eastAsia="仿宋_GB2312"/>
          <w:b w:val="0"/>
          <w:bCs w:val="0"/>
          <w:color w:val="000000"/>
          <w:sz w:val="32"/>
          <w:szCs w:val="32"/>
          <w:lang w:val="en-US" w:eastAsia="zh-CN"/>
        </w:rPr>
        <w:t>标准化指导性技术文件指对于技术尚在发展中，需要引导其发展或具有标准化价值，暂时不能制定为国家或行业标准的项目。</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 xml:space="preserve">第三条 </w:t>
      </w:r>
      <w:r>
        <w:rPr>
          <w:rFonts w:hint="eastAsia" w:ascii="仿宋_GB2312" w:eastAsia="仿宋_GB2312"/>
          <w:b w:val="0"/>
          <w:bCs w:val="0"/>
          <w:color w:val="000000"/>
          <w:sz w:val="32"/>
          <w:szCs w:val="32"/>
          <w:lang w:eastAsia="zh-CN"/>
        </w:rPr>
        <w:t>商务领域标准</w:t>
      </w:r>
      <w:r>
        <w:rPr>
          <w:rFonts w:hint="eastAsia" w:ascii="仿宋_GB2312" w:eastAsia="仿宋_GB2312"/>
          <w:b w:val="0"/>
          <w:bCs w:val="0"/>
          <w:color w:val="000000"/>
          <w:sz w:val="32"/>
          <w:szCs w:val="32"/>
        </w:rPr>
        <w:t>的</w:t>
      </w:r>
      <w:r>
        <w:rPr>
          <w:rFonts w:hint="eastAsia" w:ascii="仿宋_GB2312" w:eastAsia="仿宋_GB2312"/>
          <w:b w:val="0"/>
          <w:bCs w:val="0"/>
          <w:color w:val="000000"/>
          <w:sz w:val="32"/>
          <w:szCs w:val="32"/>
          <w:lang w:eastAsia="zh-CN"/>
        </w:rPr>
        <w:t>制修订、</w:t>
      </w:r>
      <w:r>
        <w:rPr>
          <w:rFonts w:hint="eastAsia" w:ascii="仿宋_GB2312" w:eastAsia="仿宋_GB2312"/>
          <w:b w:val="0"/>
          <w:bCs w:val="0"/>
          <w:color w:val="000000"/>
          <w:sz w:val="32"/>
          <w:szCs w:val="32"/>
        </w:rPr>
        <w:t>实施</w:t>
      </w:r>
      <w:r>
        <w:rPr>
          <w:rFonts w:hint="eastAsia" w:ascii="仿宋_GB2312" w:eastAsia="仿宋_GB2312"/>
          <w:b w:val="0"/>
          <w:bCs w:val="0"/>
          <w:color w:val="000000"/>
          <w:sz w:val="32"/>
          <w:szCs w:val="32"/>
          <w:lang w:eastAsia="zh-CN"/>
        </w:rPr>
        <w:t>及</w:t>
      </w:r>
      <w:r>
        <w:rPr>
          <w:rFonts w:hint="eastAsia" w:ascii="仿宋_GB2312" w:eastAsia="仿宋_GB2312"/>
          <w:b w:val="0"/>
          <w:bCs w:val="0"/>
          <w:color w:val="000000"/>
          <w:sz w:val="32"/>
          <w:szCs w:val="32"/>
        </w:rPr>
        <w:t>监督，适用本办法。</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第</w:t>
      </w:r>
      <w:r>
        <w:rPr>
          <w:rFonts w:hint="eastAsia" w:ascii="仿宋_GB2312" w:eastAsia="仿宋_GB2312"/>
          <w:b w:val="0"/>
          <w:bCs w:val="0"/>
          <w:color w:val="000000"/>
          <w:sz w:val="32"/>
          <w:szCs w:val="32"/>
          <w:lang w:eastAsia="zh-CN"/>
        </w:rPr>
        <w:t>四</w:t>
      </w:r>
      <w:r>
        <w:rPr>
          <w:rFonts w:hint="eastAsia" w:ascii="仿宋_GB2312" w:eastAsia="仿宋_GB2312"/>
          <w:b w:val="0"/>
          <w:bCs w:val="0"/>
          <w:color w:val="000000"/>
          <w:sz w:val="32"/>
          <w:szCs w:val="32"/>
        </w:rPr>
        <w:t>条 商务部负责</w:t>
      </w:r>
      <w:r>
        <w:rPr>
          <w:rFonts w:hint="eastAsia" w:ascii="仿宋_GB2312" w:eastAsia="仿宋_GB2312"/>
          <w:b w:val="0"/>
          <w:bCs w:val="0"/>
          <w:color w:val="000000"/>
          <w:sz w:val="32"/>
          <w:szCs w:val="32"/>
          <w:lang w:eastAsia="zh-CN"/>
        </w:rPr>
        <w:t>全国</w:t>
      </w:r>
      <w:r>
        <w:rPr>
          <w:rFonts w:hint="eastAsia" w:ascii="仿宋_GB2312" w:eastAsia="仿宋_GB2312"/>
          <w:b w:val="0"/>
          <w:bCs w:val="0"/>
          <w:color w:val="000000"/>
          <w:sz w:val="32"/>
          <w:szCs w:val="32"/>
        </w:rPr>
        <w:t>商务领域标准化相关管理工作。主要职责是：</w:t>
      </w:r>
      <w:r>
        <w:rPr>
          <w:rFonts w:hint="eastAsia" w:ascii="仿宋_GB2312" w:eastAsia="仿宋_GB2312"/>
          <w:b w:val="0"/>
          <w:bCs w:val="0"/>
          <w:color w:val="000000"/>
          <w:sz w:val="32"/>
          <w:szCs w:val="32"/>
          <w:lang w:eastAsia="zh-CN"/>
        </w:rPr>
        <w:t>负责</w:t>
      </w:r>
      <w:r>
        <w:rPr>
          <w:rFonts w:hint="eastAsia" w:ascii="仿宋_GB2312" w:eastAsia="仿宋_GB2312"/>
          <w:b w:val="0"/>
          <w:bCs w:val="0"/>
          <w:color w:val="000000"/>
          <w:sz w:val="32"/>
          <w:szCs w:val="32"/>
        </w:rPr>
        <w:t>建立商务领域标准化工作推进机制，统筹推进商务领域标准化重大改革，研究标准化重要政策，对商务领域跨行业标准的制定、实施进行协调</w:t>
      </w:r>
      <w:r>
        <w:rPr>
          <w:rFonts w:hint="eastAsia" w:ascii="仿宋_GB2312" w:eastAsia="仿宋_GB2312"/>
          <w:b w:val="0"/>
          <w:bCs w:val="0"/>
          <w:color w:val="000000"/>
          <w:sz w:val="32"/>
          <w:szCs w:val="32"/>
          <w:lang w:eastAsia="zh-CN"/>
        </w:rPr>
        <w:t>；建立商务领域标准体系；</w:t>
      </w:r>
      <w:r>
        <w:rPr>
          <w:rFonts w:hint="eastAsia" w:ascii="仿宋_GB2312" w:eastAsia="仿宋_GB2312"/>
          <w:b w:val="0"/>
          <w:bCs w:val="0"/>
          <w:color w:val="000000"/>
          <w:sz w:val="32"/>
          <w:szCs w:val="32"/>
        </w:rPr>
        <w:t>编制全国商务领域标准化工作规划</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组织拟定商务领域国家标准和制定行业标准</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组织实施和推广应用商务领域标准</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管理商务领域相关专业标准化技术委员会</w:t>
      </w:r>
      <w:r>
        <w:rPr>
          <w:rFonts w:hint="eastAsia" w:ascii="仿宋_GB2312" w:eastAsia="仿宋_GB2312"/>
          <w:b w:val="0"/>
          <w:bCs w:val="0"/>
          <w:color w:val="000000"/>
          <w:sz w:val="32"/>
          <w:szCs w:val="32"/>
          <w:lang w:eastAsia="zh-CN"/>
        </w:rPr>
        <w:t>；统筹管理</w:t>
      </w:r>
      <w:r>
        <w:rPr>
          <w:rFonts w:hint="eastAsia" w:ascii="仿宋_GB2312" w:eastAsia="仿宋_GB2312"/>
          <w:b w:val="0"/>
          <w:bCs w:val="0"/>
          <w:color w:val="000000"/>
          <w:sz w:val="32"/>
          <w:szCs w:val="32"/>
        </w:rPr>
        <w:t>商务领域国际标准化活动</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指导</w:t>
      </w:r>
      <w:r>
        <w:rPr>
          <w:rFonts w:hint="eastAsia" w:ascii="仿宋_GB2312" w:eastAsia="仿宋_GB2312"/>
          <w:b w:val="0"/>
          <w:bCs w:val="0"/>
          <w:color w:val="000000"/>
          <w:sz w:val="32"/>
          <w:szCs w:val="32"/>
          <w:lang w:eastAsia="zh-CN"/>
        </w:rPr>
        <w:t>地方</w:t>
      </w:r>
      <w:r>
        <w:rPr>
          <w:rFonts w:hint="eastAsia" w:ascii="仿宋_GB2312" w:eastAsia="仿宋_GB2312"/>
          <w:b w:val="0"/>
          <w:bCs w:val="0"/>
          <w:color w:val="000000"/>
          <w:sz w:val="32"/>
          <w:szCs w:val="32"/>
        </w:rPr>
        <w:t>商务主管部门的标准化工作。</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地方商务主管部门负责本行政区域内商务领域标准化相关管理工作。</w:t>
      </w:r>
      <w:r>
        <w:rPr>
          <w:rFonts w:hint="eastAsia" w:ascii="仿宋_GB2312" w:eastAsia="仿宋_GB2312"/>
          <w:b w:val="0"/>
          <w:bCs w:val="0"/>
          <w:color w:val="000000"/>
          <w:sz w:val="32"/>
          <w:szCs w:val="32"/>
        </w:rPr>
        <w:t>主要职责是：协助督促、检查</w:t>
      </w:r>
      <w:r>
        <w:rPr>
          <w:rFonts w:hint="eastAsia" w:ascii="仿宋_GB2312" w:eastAsia="仿宋_GB2312"/>
          <w:b w:val="0"/>
          <w:bCs w:val="0"/>
          <w:color w:val="000000"/>
          <w:sz w:val="32"/>
          <w:szCs w:val="32"/>
          <w:lang w:eastAsia="zh-CN"/>
        </w:rPr>
        <w:t>本行政区域内</w:t>
      </w:r>
      <w:r>
        <w:rPr>
          <w:rFonts w:hint="eastAsia" w:ascii="仿宋_GB2312" w:eastAsia="仿宋_GB2312"/>
          <w:b w:val="0"/>
          <w:bCs w:val="0"/>
          <w:color w:val="000000"/>
          <w:sz w:val="32"/>
          <w:szCs w:val="32"/>
        </w:rPr>
        <w:t>单位或个人承担的商务领域国家标准和行业标准的起草工作；</w:t>
      </w:r>
      <w:r>
        <w:rPr>
          <w:rFonts w:hint="eastAsia" w:ascii="仿宋_GB2312" w:eastAsia="仿宋_GB2312"/>
          <w:b w:val="0"/>
          <w:bCs w:val="0"/>
          <w:color w:val="000000"/>
          <w:sz w:val="32"/>
          <w:szCs w:val="32"/>
          <w:lang w:val="en-US" w:eastAsia="zh-CN"/>
        </w:rPr>
        <w:t>组织、指导商务领域国家标准、行业标准在本行政区域内的实施和推广；承办商务部委托的其他商务领域标准化工作。</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第</w:t>
      </w:r>
      <w:r>
        <w:rPr>
          <w:rFonts w:hint="eastAsia" w:ascii="仿宋_GB2312" w:eastAsia="仿宋_GB2312"/>
          <w:b w:val="0"/>
          <w:bCs w:val="0"/>
          <w:color w:val="000000"/>
          <w:sz w:val="32"/>
          <w:szCs w:val="32"/>
          <w:lang w:eastAsia="zh-CN"/>
        </w:rPr>
        <w:t>五</w:t>
      </w:r>
      <w:r>
        <w:rPr>
          <w:rFonts w:hint="eastAsia" w:ascii="仿宋_GB2312" w:eastAsia="仿宋_GB2312"/>
          <w:b w:val="0"/>
          <w:bCs w:val="0"/>
          <w:color w:val="000000"/>
          <w:sz w:val="32"/>
          <w:szCs w:val="32"/>
        </w:rPr>
        <w:t>条  商务领域相关专业标准化技术委员会（</w:t>
      </w:r>
      <w:r>
        <w:rPr>
          <w:rFonts w:hint="eastAsia" w:ascii="仿宋_GB2312" w:eastAsia="仿宋_GB2312"/>
          <w:b w:val="0"/>
          <w:bCs w:val="0"/>
          <w:color w:val="000000"/>
          <w:sz w:val="32"/>
          <w:szCs w:val="32"/>
          <w:lang w:eastAsia="zh-CN"/>
        </w:rPr>
        <w:t>含分技术委员会，</w:t>
      </w:r>
      <w:r>
        <w:rPr>
          <w:rFonts w:hint="eastAsia" w:ascii="仿宋_GB2312" w:eastAsia="仿宋_GB2312"/>
          <w:b w:val="0"/>
          <w:bCs w:val="0"/>
          <w:color w:val="000000"/>
          <w:sz w:val="32"/>
          <w:szCs w:val="32"/>
        </w:rPr>
        <w:t>以下简称技术委员会）是从事</w:t>
      </w:r>
      <w:r>
        <w:rPr>
          <w:rFonts w:hint="eastAsia" w:ascii="仿宋_GB2312" w:eastAsia="仿宋_GB2312"/>
          <w:b w:val="0"/>
          <w:bCs w:val="0"/>
          <w:color w:val="000000"/>
          <w:sz w:val="32"/>
          <w:szCs w:val="32"/>
          <w:lang w:eastAsia="zh-CN"/>
        </w:rPr>
        <w:t>商务领域标准起草和技术审查等标准化工作</w:t>
      </w:r>
      <w:r>
        <w:rPr>
          <w:rFonts w:hint="eastAsia" w:ascii="仿宋_GB2312" w:eastAsia="仿宋_GB2312"/>
          <w:b w:val="0"/>
          <w:bCs w:val="0"/>
          <w:color w:val="000000"/>
          <w:sz w:val="32"/>
          <w:szCs w:val="32"/>
        </w:rPr>
        <w:t>的</w:t>
      </w:r>
      <w:r>
        <w:rPr>
          <w:rFonts w:hint="eastAsia" w:ascii="仿宋_GB2312" w:eastAsia="仿宋_GB2312"/>
          <w:b w:val="0"/>
          <w:bCs w:val="0"/>
          <w:color w:val="000000"/>
          <w:sz w:val="32"/>
          <w:szCs w:val="32"/>
          <w:lang w:eastAsia="zh-CN"/>
        </w:rPr>
        <w:t>非法人技术</w:t>
      </w:r>
      <w:r>
        <w:rPr>
          <w:rFonts w:hint="eastAsia" w:ascii="仿宋_GB2312" w:eastAsia="仿宋_GB2312"/>
          <w:b w:val="0"/>
          <w:bCs w:val="0"/>
          <w:color w:val="000000"/>
          <w:sz w:val="32"/>
          <w:szCs w:val="32"/>
        </w:rPr>
        <w:t>组织</w:t>
      </w:r>
      <w:r>
        <w:rPr>
          <w:rFonts w:hint="eastAsia" w:ascii="仿宋_GB2312" w:eastAsia="仿宋_GB2312"/>
          <w:b w:val="0"/>
          <w:bCs w:val="0"/>
          <w:color w:val="000000"/>
          <w:sz w:val="32"/>
          <w:szCs w:val="32"/>
          <w:lang w:eastAsia="zh-CN"/>
        </w:rPr>
        <w:t>。主要职责是：</w:t>
      </w:r>
      <w:r>
        <w:rPr>
          <w:rFonts w:hint="eastAsia" w:ascii="仿宋_GB2312" w:eastAsia="仿宋_GB2312"/>
          <w:b w:val="0"/>
          <w:bCs w:val="0"/>
          <w:color w:val="000000"/>
          <w:sz w:val="32"/>
          <w:szCs w:val="32"/>
        </w:rPr>
        <w:t>提出本专业领域的标准化工作政策和措施建议</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编制本专业领域标准体系</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提出制修订标准项目建议</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开展标准起草、技术审查、复审及标准外文版的组织翻译和审查等相关具体工作</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承担归口行业标准有关具体技术内容的</w:t>
      </w:r>
      <w:r>
        <w:rPr>
          <w:rFonts w:hint="eastAsia" w:ascii="仿宋_GB2312" w:eastAsia="仿宋_GB2312"/>
          <w:b w:val="0"/>
          <w:bCs w:val="0"/>
          <w:color w:val="000000"/>
          <w:sz w:val="32"/>
          <w:szCs w:val="32"/>
          <w:lang w:eastAsia="zh-CN"/>
        </w:rPr>
        <w:t>解释</w:t>
      </w:r>
      <w:r>
        <w:rPr>
          <w:rFonts w:hint="eastAsia" w:ascii="仿宋_GB2312" w:eastAsia="仿宋_GB2312"/>
          <w:b w:val="0"/>
          <w:bCs w:val="0"/>
          <w:color w:val="000000"/>
          <w:sz w:val="32"/>
          <w:szCs w:val="32"/>
        </w:rPr>
        <w:t>咨询工作。</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全国</w:t>
      </w:r>
      <w:r>
        <w:rPr>
          <w:rFonts w:hint="eastAsia" w:ascii="仿宋_GB2312" w:eastAsia="仿宋_GB2312"/>
          <w:b w:val="0"/>
          <w:bCs w:val="0"/>
          <w:color w:val="000000"/>
          <w:sz w:val="32"/>
          <w:szCs w:val="32"/>
        </w:rPr>
        <w:t>技术委员会</w:t>
      </w:r>
      <w:r>
        <w:rPr>
          <w:rFonts w:hint="eastAsia" w:ascii="仿宋_GB2312" w:eastAsia="仿宋_GB2312"/>
          <w:b w:val="0"/>
          <w:bCs w:val="0"/>
          <w:color w:val="000000"/>
          <w:sz w:val="32"/>
          <w:szCs w:val="32"/>
          <w:lang w:eastAsia="zh-CN"/>
        </w:rPr>
        <w:t>的</w:t>
      </w:r>
      <w:r>
        <w:rPr>
          <w:rFonts w:hint="eastAsia" w:ascii="仿宋_GB2312" w:eastAsia="仿宋_GB2312"/>
          <w:b w:val="0"/>
          <w:bCs w:val="0"/>
          <w:color w:val="000000"/>
          <w:sz w:val="32"/>
          <w:szCs w:val="32"/>
        </w:rPr>
        <w:t>组</w:t>
      </w:r>
      <w:r>
        <w:rPr>
          <w:rFonts w:hint="eastAsia" w:ascii="仿宋_GB2312" w:eastAsia="仿宋_GB2312"/>
          <w:b w:val="0"/>
          <w:bCs w:val="0"/>
          <w:color w:val="000000"/>
          <w:sz w:val="32"/>
          <w:szCs w:val="32"/>
          <w:lang w:eastAsia="zh-CN"/>
        </w:rPr>
        <w:t>建</w:t>
      </w:r>
      <w:r>
        <w:rPr>
          <w:rFonts w:hint="eastAsia" w:ascii="仿宋_GB2312" w:eastAsia="仿宋_GB2312"/>
          <w:b w:val="0"/>
          <w:bCs w:val="0"/>
          <w:color w:val="000000"/>
          <w:sz w:val="32"/>
          <w:szCs w:val="32"/>
        </w:rPr>
        <w:t>、换届、调整以及监督管理</w:t>
      </w:r>
      <w:r>
        <w:rPr>
          <w:rFonts w:hint="eastAsia" w:ascii="仿宋_GB2312" w:eastAsia="仿宋_GB2312"/>
          <w:b w:val="0"/>
          <w:bCs w:val="0"/>
          <w:color w:val="000000"/>
          <w:sz w:val="32"/>
          <w:szCs w:val="32"/>
          <w:lang w:eastAsia="zh-CN"/>
        </w:rPr>
        <w:t>按照《全国专业标准化技术委员会管理办法》要求执行。商务领域</w:t>
      </w:r>
      <w:r>
        <w:rPr>
          <w:rFonts w:hint="eastAsia" w:ascii="仿宋_GB2312" w:eastAsia="仿宋_GB2312"/>
          <w:b w:val="0"/>
          <w:bCs w:val="0"/>
          <w:color w:val="000000"/>
          <w:sz w:val="32"/>
          <w:szCs w:val="32"/>
        </w:rPr>
        <w:t>技术委员会</w:t>
      </w:r>
      <w:r>
        <w:rPr>
          <w:rFonts w:hint="eastAsia" w:ascii="仿宋_GB2312" w:eastAsia="仿宋_GB2312"/>
          <w:b w:val="0"/>
          <w:bCs w:val="0"/>
          <w:color w:val="000000"/>
          <w:sz w:val="32"/>
          <w:szCs w:val="32"/>
          <w:lang w:eastAsia="zh-CN"/>
        </w:rPr>
        <w:t>（工作组）</w:t>
      </w:r>
      <w:r>
        <w:rPr>
          <w:rFonts w:hint="eastAsia" w:ascii="仿宋_GB2312" w:eastAsia="仿宋_GB2312"/>
          <w:b w:val="0"/>
          <w:bCs w:val="0"/>
          <w:color w:val="000000"/>
          <w:sz w:val="32"/>
          <w:szCs w:val="32"/>
        </w:rPr>
        <w:t>的组</w:t>
      </w:r>
      <w:r>
        <w:rPr>
          <w:rFonts w:hint="eastAsia" w:ascii="仿宋_GB2312" w:eastAsia="仿宋_GB2312"/>
          <w:b w:val="0"/>
          <w:bCs w:val="0"/>
          <w:color w:val="000000"/>
          <w:sz w:val="32"/>
          <w:szCs w:val="32"/>
          <w:lang w:eastAsia="zh-CN"/>
        </w:rPr>
        <w:t>建</w:t>
      </w:r>
      <w:r>
        <w:rPr>
          <w:rFonts w:hint="eastAsia" w:ascii="仿宋_GB2312" w:eastAsia="仿宋_GB2312"/>
          <w:b w:val="0"/>
          <w:bCs w:val="0"/>
          <w:color w:val="000000"/>
          <w:sz w:val="32"/>
          <w:szCs w:val="32"/>
        </w:rPr>
        <w:t>、换届、调整以及监督管理</w:t>
      </w:r>
      <w:r>
        <w:rPr>
          <w:rFonts w:hint="eastAsia" w:ascii="仿宋_GB2312" w:eastAsia="仿宋_GB2312"/>
          <w:b w:val="0"/>
          <w:bCs w:val="0"/>
          <w:color w:val="000000"/>
          <w:sz w:val="32"/>
          <w:szCs w:val="32"/>
          <w:lang w:eastAsia="zh-CN"/>
        </w:rPr>
        <w:t>参照有关标准化技术委员会管理办法要求</w:t>
      </w:r>
      <w:r>
        <w:rPr>
          <w:rFonts w:hint="eastAsia" w:ascii="仿宋_GB2312" w:eastAsia="仿宋_GB2312"/>
          <w:b w:val="0"/>
          <w:bCs w:val="0"/>
          <w:color w:val="000000"/>
          <w:sz w:val="32"/>
          <w:szCs w:val="32"/>
        </w:rPr>
        <w:t>执行。</w:t>
      </w:r>
    </w:p>
    <w:p>
      <w:pPr>
        <w:keepNext w:val="0"/>
        <w:keepLines w:val="0"/>
        <w:pageBreakBefore w:val="0"/>
        <w:widowControl/>
        <w:kinsoku/>
        <w:wordWrap/>
        <w:overflowPunct/>
        <w:topLinePunct w:val="0"/>
        <w:autoSpaceDE/>
        <w:autoSpaceDN/>
        <w:bidi w:val="0"/>
        <w:adjustRightInd/>
        <w:snapToGrid/>
        <w:ind w:firstLine="640" w:firstLineChars="200"/>
        <w:jc w:val="left"/>
        <w:rPr>
          <w:rFonts w:hint="default" w:ascii="仿宋_GB2312" w:eastAsia="仿宋_GB2312"/>
          <w:b w:val="0"/>
          <w:bCs w:val="0"/>
          <w:color w:val="000000"/>
          <w:sz w:val="32"/>
          <w:lang w:val="en-US" w:eastAsia="zh-CN"/>
        </w:rPr>
      </w:pPr>
      <w:r>
        <w:rPr>
          <w:rFonts w:hint="eastAsia" w:ascii="仿宋_GB2312" w:eastAsia="仿宋_GB2312"/>
          <w:b w:val="0"/>
          <w:bCs w:val="0"/>
          <w:color w:val="000000"/>
          <w:sz w:val="32"/>
          <w:lang w:val="en" w:eastAsia="zh-CN"/>
        </w:rPr>
        <w:t>第六条</w:t>
      </w:r>
      <w:r>
        <w:rPr>
          <w:rFonts w:hint="eastAsia" w:ascii="仿宋_GB2312" w:eastAsia="仿宋_GB2312"/>
          <w:b w:val="0"/>
          <w:bCs w:val="0"/>
          <w:color w:val="000000"/>
          <w:sz w:val="32"/>
          <w:lang w:val="en-US" w:eastAsia="zh-CN"/>
        </w:rPr>
        <w:t xml:space="preserve"> 商务部鼓励社会团体、企业制定高于商务领域推荐性国家标准和行业标准相关技术要求的团体标准、企业标准。</w:t>
      </w:r>
    </w:p>
    <w:p>
      <w:pPr>
        <w:keepNext w:val="0"/>
        <w:keepLines w:val="0"/>
        <w:pageBreakBefore w:val="0"/>
        <w:widowControl/>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七</w:t>
      </w:r>
      <w:r>
        <w:rPr>
          <w:rFonts w:hint="eastAsia" w:ascii="仿宋_GB2312" w:eastAsia="仿宋_GB2312"/>
          <w:b w:val="0"/>
          <w:bCs w:val="0"/>
          <w:color w:val="000000"/>
          <w:sz w:val="32"/>
        </w:rPr>
        <w:t>条 商务部推动参与商务领域国际标准化活动，开展标准化对外合作与交流，推动中国标准走出去，结合国情采用国际标准</w:t>
      </w:r>
      <w:r>
        <w:rPr>
          <w:rFonts w:hint="eastAsia" w:ascii="仿宋_GB2312" w:eastAsia="仿宋_GB2312"/>
          <w:b w:val="0"/>
          <w:bCs w:val="0"/>
          <w:color w:val="000000"/>
          <w:sz w:val="32"/>
          <w:lang w:eastAsia="zh-CN"/>
        </w:rPr>
        <w:t>，推动</w:t>
      </w:r>
      <w:r>
        <w:rPr>
          <w:rFonts w:hint="eastAsia" w:ascii="仿宋_GB2312" w:eastAsia="仿宋_GB2312"/>
          <w:b w:val="0"/>
          <w:bCs w:val="0"/>
          <w:color w:val="000000"/>
          <w:sz w:val="32"/>
        </w:rPr>
        <w:t>商务领域</w:t>
      </w:r>
      <w:r>
        <w:rPr>
          <w:rFonts w:hint="eastAsia" w:ascii="仿宋_GB2312" w:eastAsia="仿宋_GB2312"/>
          <w:b w:val="0"/>
          <w:bCs w:val="0"/>
          <w:color w:val="000000"/>
          <w:sz w:val="32"/>
          <w:lang w:eastAsia="zh-CN"/>
        </w:rPr>
        <w:t>标准与国外标准之间</w:t>
      </w:r>
      <w:r>
        <w:rPr>
          <w:rFonts w:hint="eastAsia" w:ascii="仿宋_GB2312" w:eastAsia="仿宋_GB2312"/>
          <w:b w:val="0"/>
          <w:bCs w:val="0"/>
          <w:color w:val="000000"/>
          <w:sz w:val="32"/>
        </w:rPr>
        <w:t>的</w:t>
      </w:r>
      <w:r>
        <w:rPr>
          <w:rFonts w:hint="eastAsia" w:ascii="仿宋_GB2312" w:eastAsia="仿宋_GB2312"/>
          <w:b w:val="0"/>
          <w:bCs w:val="0"/>
          <w:color w:val="000000"/>
          <w:sz w:val="32"/>
          <w:lang w:eastAsia="zh-CN"/>
        </w:rPr>
        <w:t>认可、采用，开展商务领域标准外文版翻译工作。</w:t>
      </w:r>
    </w:p>
    <w:p>
      <w:pPr>
        <w:keepNext w:val="0"/>
        <w:keepLines w:val="0"/>
        <w:pageBreakBefore w:val="0"/>
        <w:kinsoku/>
        <w:wordWrap/>
        <w:overflowPunct/>
        <w:topLinePunct w:val="0"/>
        <w:autoSpaceDE/>
        <w:autoSpaceDN/>
        <w:bidi w:val="0"/>
        <w:adjustRightInd/>
        <w:snapToGrid/>
        <w:ind w:firstLine="640" w:firstLineChars="200"/>
        <w:rPr>
          <w:rFonts w:hint="default" w:ascii="仿宋_GB2312" w:eastAsia="仿宋_GB2312"/>
          <w:b w:val="0"/>
          <w:bCs w:val="0"/>
          <w:color w:val="000000"/>
          <w:sz w:val="32"/>
          <w:lang w:val="en" w:eastAsia="zh-CN"/>
        </w:rPr>
      </w:pPr>
      <w:r>
        <w:rPr>
          <w:rFonts w:hint="eastAsia" w:ascii="仿宋_GB2312" w:eastAsia="仿宋_GB2312"/>
          <w:b w:val="0"/>
          <w:bCs w:val="0"/>
          <w:color w:val="000000"/>
          <w:sz w:val="32"/>
          <w:lang w:eastAsia="zh-CN"/>
        </w:rPr>
        <w:t>第八条</w:t>
      </w:r>
      <w:r>
        <w:rPr>
          <w:rFonts w:hint="eastAsia" w:ascii="仿宋_GB2312" w:eastAsia="仿宋_GB2312"/>
          <w:b w:val="0"/>
          <w:bCs w:val="0"/>
          <w:color w:val="000000"/>
          <w:sz w:val="32"/>
          <w:lang w:val="en-US" w:eastAsia="zh-CN"/>
        </w:rPr>
        <w:t xml:space="preserve"> 商务部</w:t>
      </w:r>
      <w:r>
        <w:rPr>
          <w:rFonts w:hint="eastAsia" w:ascii="仿宋_GB2312" w:eastAsia="仿宋_GB2312"/>
          <w:b w:val="0"/>
          <w:bCs w:val="0"/>
          <w:color w:val="000000"/>
          <w:sz w:val="32"/>
        </w:rPr>
        <w:t>对在商务领域标准化工作中作出显著成绩的单位和个人，按照国家有关规定给予表彰和奖励。</w:t>
      </w:r>
    </w:p>
    <w:p>
      <w:pPr>
        <w:keepNext w:val="0"/>
        <w:keepLines w:val="0"/>
        <w:pageBreakBefore w:val="0"/>
        <w:kinsoku/>
        <w:wordWrap/>
        <w:overflowPunct/>
        <w:topLinePunct w:val="0"/>
        <w:autoSpaceDE/>
        <w:autoSpaceDN/>
        <w:bidi w:val="0"/>
        <w:adjustRightInd/>
        <w:snapToGrid/>
        <w:rPr>
          <w:rFonts w:hint="eastAsia" w:ascii="仿宋_GB2312" w:eastAsia="仿宋_GB2312"/>
          <w:b w:val="0"/>
          <w:bCs w:val="0"/>
          <w:color w:val="000000"/>
          <w:sz w:val="32"/>
        </w:rPr>
      </w:pPr>
    </w:p>
    <w:p>
      <w:pPr>
        <w:keepNext w:val="0"/>
        <w:pageBreakBefore w:val="0"/>
        <w:kinsoku/>
        <w:wordWrap/>
        <w:overflowPunct/>
        <w:topLinePunct w:val="0"/>
        <w:autoSpaceDE/>
        <w:autoSpaceDN/>
        <w:bidi w:val="0"/>
        <w:adjustRightInd/>
        <w:snapToGrid/>
        <w:jc w:val="center"/>
        <w:rPr>
          <w:rFonts w:hint="eastAsia" w:ascii="黑体" w:hAnsi="黑体" w:eastAsia="黑体"/>
          <w:b w:val="0"/>
          <w:bCs w:val="0"/>
          <w:color w:val="000000"/>
          <w:sz w:val="32"/>
          <w:lang w:eastAsia="zh-CN"/>
        </w:rPr>
      </w:pPr>
      <w:r>
        <w:rPr>
          <w:rFonts w:hint="eastAsia" w:ascii="黑体" w:hAnsi="黑体" w:eastAsia="黑体"/>
          <w:b w:val="0"/>
          <w:bCs w:val="0"/>
          <w:color w:val="000000"/>
          <w:sz w:val="32"/>
        </w:rPr>
        <w:t>第</w:t>
      </w:r>
      <w:r>
        <w:rPr>
          <w:rFonts w:hint="eastAsia" w:ascii="黑体" w:hAnsi="黑体" w:eastAsia="黑体"/>
          <w:b w:val="0"/>
          <w:bCs w:val="0"/>
          <w:color w:val="000000"/>
          <w:sz w:val="32"/>
          <w:lang w:eastAsia="zh-CN"/>
        </w:rPr>
        <w:t>二</w:t>
      </w:r>
      <w:r>
        <w:rPr>
          <w:rFonts w:hint="eastAsia" w:ascii="黑体" w:hAnsi="黑体" w:eastAsia="黑体"/>
          <w:b w:val="0"/>
          <w:bCs w:val="0"/>
          <w:color w:val="000000"/>
          <w:sz w:val="32"/>
        </w:rPr>
        <w:t>章 商务领域标准的</w:t>
      </w:r>
      <w:r>
        <w:rPr>
          <w:rFonts w:hint="eastAsia" w:ascii="黑体" w:hAnsi="黑体" w:eastAsia="黑体"/>
          <w:b w:val="0"/>
          <w:bCs w:val="0"/>
          <w:color w:val="000000"/>
          <w:sz w:val="32"/>
          <w:lang w:eastAsia="zh-CN"/>
        </w:rPr>
        <w:t>制修订</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九</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涉及</w:t>
      </w:r>
      <w:r>
        <w:rPr>
          <w:rFonts w:hint="eastAsia" w:ascii="仿宋_GB2312" w:eastAsia="仿宋_GB2312"/>
          <w:b w:val="0"/>
          <w:bCs w:val="0"/>
          <w:color w:val="000000"/>
          <w:sz w:val="32"/>
        </w:rPr>
        <w:t>商务领域的</w:t>
      </w:r>
      <w:r>
        <w:rPr>
          <w:rFonts w:hint="eastAsia" w:ascii="仿宋_GB2312" w:eastAsia="仿宋_GB2312"/>
          <w:b w:val="0"/>
          <w:bCs w:val="0"/>
          <w:color w:val="000000"/>
          <w:sz w:val="32"/>
          <w:lang w:eastAsia="zh-CN"/>
        </w:rPr>
        <w:t>强制性</w:t>
      </w:r>
      <w:r>
        <w:rPr>
          <w:rFonts w:hint="eastAsia" w:ascii="仿宋_GB2312" w:eastAsia="仿宋_GB2312"/>
          <w:b w:val="0"/>
          <w:bCs w:val="0"/>
          <w:color w:val="000000"/>
          <w:sz w:val="32"/>
        </w:rPr>
        <w:t>国家标准</w:t>
      </w:r>
      <w:r>
        <w:rPr>
          <w:rFonts w:hint="eastAsia" w:ascii="仿宋_GB2312" w:eastAsia="仿宋_GB2312"/>
          <w:b w:val="0"/>
          <w:bCs w:val="0"/>
          <w:color w:val="000000"/>
          <w:sz w:val="32"/>
          <w:lang w:eastAsia="zh-CN"/>
        </w:rPr>
        <w:t>，由</w:t>
      </w:r>
      <w:r>
        <w:rPr>
          <w:rFonts w:hint="eastAsia" w:ascii="仿宋_GB2312" w:eastAsia="仿宋_GB2312"/>
          <w:b w:val="0"/>
          <w:bCs w:val="0"/>
          <w:color w:val="000000"/>
          <w:sz w:val="32"/>
        </w:rPr>
        <w:t>商务部</w:t>
      </w:r>
      <w:r>
        <w:rPr>
          <w:rFonts w:hint="eastAsia" w:ascii="仿宋_GB2312" w:eastAsia="仿宋_GB2312"/>
          <w:b w:val="0"/>
          <w:bCs w:val="0"/>
          <w:color w:val="000000"/>
          <w:sz w:val="32"/>
          <w:lang w:eastAsia="zh-CN"/>
        </w:rPr>
        <w:t>依法</w:t>
      </w:r>
      <w:r>
        <w:rPr>
          <w:rFonts w:hint="eastAsia" w:ascii="仿宋_GB2312" w:eastAsia="仿宋_GB2312"/>
          <w:b w:val="0"/>
          <w:bCs w:val="0"/>
          <w:color w:val="000000"/>
          <w:sz w:val="32"/>
        </w:rPr>
        <w:t>向</w:t>
      </w:r>
      <w:r>
        <w:rPr>
          <w:rFonts w:hint="eastAsia" w:ascii="仿宋_GB2312" w:eastAsia="仿宋_GB2312"/>
          <w:b w:val="0"/>
          <w:bCs w:val="0"/>
          <w:color w:val="000000"/>
          <w:sz w:val="32"/>
          <w:lang w:eastAsia="zh-CN"/>
        </w:rPr>
        <w:t>相关</w:t>
      </w:r>
      <w:r>
        <w:rPr>
          <w:rFonts w:hint="eastAsia" w:ascii="仿宋_GB2312" w:eastAsia="仿宋_GB2312"/>
          <w:b w:val="0"/>
          <w:bCs w:val="0"/>
          <w:color w:val="000000"/>
          <w:sz w:val="32"/>
        </w:rPr>
        <w:t>国家标准主管部门提出强制性国家标准立项申请。立项通过后，商务部按照有关规定组织起草、征求意见和技术审查。</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lang w:eastAsia="zh-CN"/>
        </w:rPr>
        <w:t>涉及</w:t>
      </w:r>
      <w:r>
        <w:rPr>
          <w:rFonts w:hint="eastAsia" w:ascii="仿宋_GB2312" w:eastAsia="仿宋_GB2312"/>
          <w:b w:val="0"/>
          <w:bCs w:val="0"/>
          <w:color w:val="000000"/>
          <w:sz w:val="32"/>
        </w:rPr>
        <w:t>商务领域的推荐性国家标准，</w:t>
      </w:r>
      <w:r>
        <w:rPr>
          <w:rFonts w:hint="eastAsia" w:ascii="仿宋_GB2312" w:eastAsia="仿宋_GB2312"/>
          <w:b w:val="0"/>
          <w:bCs w:val="0"/>
          <w:color w:val="000000"/>
          <w:sz w:val="32"/>
          <w:lang w:eastAsia="zh-CN"/>
        </w:rPr>
        <w:t>由技术委员会或申请单位</w:t>
      </w:r>
      <w:r>
        <w:rPr>
          <w:rFonts w:hint="eastAsia" w:ascii="仿宋_GB2312" w:eastAsia="仿宋_GB2312"/>
          <w:b w:val="0"/>
          <w:bCs w:val="0"/>
          <w:color w:val="000000"/>
          <w:sz w:val="32"/>
        </w:rPr>
        <w:t>向商务部提交立项申请</w:t>
      </w:r>
      <w:r>
        <w:rPr>
          <w:rFonts w:hint="eastAsia" w:ascii="仿宋_GB2312" w:eastAsia="仿宋_GB2312"/>
          <w:b w:val="0"/>
          <w:bCs w:val="0"/>
          <w:color w:val="000000"/>
          <w:sz w:val="32"/>
          <w:lang w:eastAsia="zh-CN"/>
        </w:rPr>
        <w:t>，商务部审核后依法</w:t>
      </w:r>
      <w:r>
        <w:rPr>
          <w:rFonts w:hint="eastAsia" w:ascii="仿宋_GB2312" w:eastAsia="仿宋_GB2312"/>
          <w:b w:val="0"/>
          <w:bCs w:val="0"/>
          <w:color w:val="000000"/>
          <w:sz w:val="32"/>
        </w:rPr>
        <w:t>向</w:t>
      </w:r>
      <w:r>
        <w:rPr>
          <w:rFonts w:hint="eastAsia" w:ascii="仿宋_GB2312" w:eastAsia="仿宋_GB2312"/>
          <w:b w:val="0"/>
          <w:bCs w:val="0"/>
          <w:color w:val="000000"/>
          <w:sz w:val="32"/>
          <w:lang w:eastAsia="zh-CN"/>
        </w:rPr>
        <w:t>相关</w:t>
      </w:r>
      <w:r>
        <w:rPr>
          <w:rFonts w:hint="eastAsia" w:ascii="仿宋_GB2312" w:eastAsia="仿宋_GB2312"/>
          <w:b w:val="0"/>
          <w:bCs w:val="0"/>
          <w:color w:val="000000"/>
          <w:sz w:val="32"/>
        </w:rPr>
        <w:t>国家标准主管部门申报。</w:t>
      </w:r>
      <w:r>
        <w:rPr>
          <w:rFonts w:hint="eastAsia" w:ascii="仿宋_GB2312" w:eastAsia="仿宋_GB2312"/>
          <w:b w:val="0"/>
          <w:bCs w:val="0"/>
          <w:color w:val="000000"/>
          <w:sz w:val="32"/>
          <w:lang w:eastAsia="zh-CN"/>
        </w:rPr>
        <w:t>立项通过后，推荐性国家标准的制修订、复审按照有关国家标准管理办法有关要求执行</w:t>
      </w:r>
      <w:r>
        <w:rPr>
          <w:rFonts w:hint="eastAsia" w:ascii="仿宋_GB2312" w:eastAsia="仿宋_GB2312"/>
          <w:b w:val="0"/>
          <w:bCs w:val="0"/>
          <w:color w:val="000000"/>
          <w:sz w:val="32"/>
        </w:rPr>
        <w:t>。</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lang w:eastAsia="zh-CN"/>
        </w:rPr>
      </w:pPr>
      <w:r>
        <w:rPr>
          <w:rFonts w:hint="eastAsia" w:ascii="仿宋_GB2312" w:eastAsia="仿宋_GB2312"/>
          <w:b w:val="0"/>
          <w:bCs w:val="0"/>
          <w:color w:val="000000"/>
          <w:sz w:val="32"/>
          <w:lang w:eastAsia="zh-CN"/>
        </w:rPr>
        <w:t>商务领域行业标准的立项、起草、征求意见、技术审查、报批、批准与发布按照本办法第十</w:t>
      </w:r>
      <w:r>
        <w:rPr>
          <w:rFonts w:hint="eastAsia" w:ascii="仿宋_GB2312" w:eastAsia="仿宋_GB2312"/>
          <w:b w:val="0"/>
          <w:bCs w:val="0"/>
          <w:color w:val="000000"/>
          <w:sz w:val="32"/>
          <w:lang w:val="en-US" w:eastAsia="zh-CN"/>
        </w:rPr>
        <w:t>条到第三十二条的要求</w:t>
      </w:r>
      <w:r>
        <w:rPr>
          <w:rFonts w:hint="eastAsia" w:ascii="仿宋_GB2312" w:eastAsia="仿宋_GB2312"/>
          <w:b w:val="0"/>
          <w:bCs w:val="0"/>
          <w:color w:val="000000"/>
          <w:sz w:val="32"/>
          <w:lang w:eastAsia="zh-CN"/>
        </w:rPr>
        <w:t>执行。</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第十条 政府部门</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社会团体、企事业单位</w:t>
      </w:r>
      <w:r>
        <w:rPr>
          <w:rFonts w:hint="eastAsia" w:ascii="仿宋_GB2312" w:eastAsia="仿宋_GB2312"/>
          <w:b w:val="0"/>
          <w:bCs w:val="0"/>
          <w:color w:val="000000"/>
          <w:sz w:val="32"/>
          <w:lang w:eastAsia="zh-CN"/>
        </w:rPr>
        <w:t>以及公民可向技术委员会</w:t>
      </w:r>
      <w:r>
        <w:rPr>
          <w:rFonts w:hint="eastAsia" w:ascii="仿宋_GB2312" w:eastAsia="仿宋_GB2312"/>
          <w:b w:val="0"/>
          <w:bCs w:val="0"/>
          <w:color w:val="000000"/>
          <w:sz w:val="32"/>
        </w:rPr>
        <w:t>提出</w:t>
      </w:r>
      <w:r>
        <w:rPr>
          <w:rFonts w:hint="eastAsia" w:ascii="仿宋_GB2312" w:eastAsia="仿宋_GB2312"/>
          <w:b w:val="0"/>
          <w:bCs w:val="0"/>
          <w:color w:val="000000"/>
          <w:sz w:val="32"/>
          <w:lang w:eastAsia="zh-CN"/>
        </w:rPr>
        <w:t>商务领域</w:t>
      </w:r>
      <w:r>
        <w:rPr>
          <w:rFonts w:hint="eastAsia" w:ascii="仿宋_GB2312" w:eastAsia="仿宋_GB2312"/>
          <w:b w:val="0"/>
          <w:bCs w:val="0"/>
          <w:color w:val="000000"/>
          <w:sz w:val="32"/>
        </w:rPr>
        <w:t>行业标准立项</w:t>
      </w:r>
      <w:r>
        <w:rPr>
          <w:rFonts w:hint="eastAsia" w:ascii="仿宋_GB2312" w:eastAsia="仿宋_GB2312"/>
          <w:b w:val="0"/>
          <w:bCs w:val="0"/>
          <w:color w:val="000000"/>
          <w:sz w:val="32"/>
          <w:lang w:eastAsia="zh-CN"/>
        </w:rPr>
        <w:t>建议</w:t>
      </w:r>
      <w:r>
        <w:rPr>
          <w:rFonts w:hint="eastAsia" w:ascii="仿宋_GB2312" w:eastAsia="仿宋_GB2312"/>
          <w:b w:val="0"/>
          <w:bCs w:val="0"/>
          <w:color w:val="000000"/>
          <w:sz w:val="32"/>
        </w:rPr>
        <w:t>。技术委员会</w:t>
      </w:r>
      <w:r>
        <w:rPr>
          <w:rFonts w:hint="eastAsia" w:ascii="仿宋_GB2312" w:eastAsia="仿宋_GB2312"/>
          <w:b w:val="0"/>
          <w:bCs w:val="0"/>
          <w:color w:val="000000"/>
          <w:sz w:val="32"/>
          <w:lang w:eastAsia="zh-CN"/>
        </w:rPr>
        <w:t>应当</w:t>
      </w:r>
      <w:r>
        <w:rPr>
          <w:rFonts w:hint="eastAsia" w:ascii="仿宋_GB2312" w:eastAsia="仿宋_GB2312"/>
          <w:b w:val="0"/>
          <w:bCs w:val="0"/>
          <w:color w:val="000000"/>
          <w:sz w:val="32"/>
        </w:rPr>
        <w:t>评估立项建议的必要性、可行性。表决通过的，</w:t>
      </w:r>
      <w:r>
        <w:rPr>
          <w:rFonts w:hint="eastAsia" w:ascii="仿宋_GB2312" w:eastAsia="仿宋_GB2312"/>
          <w:b w:val="0"/>
          <w:bCs w:val="0"/>
          <w:color w:val="000000"/>
          <w:sz w:val="32"/>
          <w:lang w:eastAsia="zh-CN"/>
        </w:rPr>
        <w:t>申请单位</w:t>
      </w:r>
      <w:r>
        <w:rPr>
          <w:rFonts w:hint="eastAsia" w:ascii="仿宋_GB2312" w:eastAsia="仿宋_GB2312"/>
          <w:b w:val="0"/>
          <w:bCs w:val="0"/>
          <w:color w:val="000000"/>
          <w:sz w:val="32"/>
        </w:rPr>
        <w:t>形成行业标准项目立项申请。</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lang w:eastAsia="zh-CN"/>
        </w:rPr>
      </w:pPr>
      <w:r>
        <w:rPr>
          <w:rFonts w:hint="eastAsia" w:ascii="仿宋_GB2312" w:eastAsia="仿宋_GB2312"/>
          <w:b w:val="0"/>
          <w:bCs w:val="0"/>
          <w:color w:val="000000"/>
          <w:sz w:val="32"/>
        </w:rPr>
        <w:t>没有技术委员会的</w:t>
      </w:r>
      <w:r>
        <w:rPr>
          <w:rFonts w:hint="eastAsia" w:ascii="仿宋_GB2312" w:eastAsia="仿宋_GB2312"/>
          <w:b w:val="0"/>
          <w:bCs w:val="0"/>
          <w:color w:val="000000"/>
          <w:sz w:val="32"/>
          <w:lang w:eastAsia="zh-CN"/>
        </w:rPr>
        <w:t>领域</w:t>
      </w:r>
      <w:r>
        <w:rPr>
          <w:rFonts w:hint="eastAsia" w:ascii="仿宋_GB2312" w:eastAsia="仿宋_GB2312"/>
          <w:b w:val="0"/>
          <w:bCs w:val="0"/>
          <w:color w:val="000000"/>
          <w:sz w:val="32"/>
        </w:rPr>
        <w:t>，政府部门</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社会团体、企事业单位</w:t>
      </w:r>
      <w:r>
        <w:rPr>
          <w:rFonts w:hint="eastAsia" w:ascii="仿宋_GB2312" w:eastAsia="仿宋_GB2312"/>
          <w:b w:val="0"/>
          <w:bCs w:val="0"/>
          <w:color w:val="000000"/>
          <w:sz w:val="32"/>
          <w:lang w:eastAsia="zh-CN"/>
        </w:rPr>
        <w:t>以及公民</w:t>
      </w:r>
      <w:r>
        <w:rPr>
          <w:rFonts w:hint="eastAsia" w:ascii="仿宋_GB2312" w:eastAsia="仿宋_GB2312"/>
          <w:b w:val="0"/>
          <w:bCs w:val="0"/>
          <w:color w:val="000000"/>
          <w:sz w:val="32"/>
        </w:rPr>
        <w:t>可向商务部直接提出立项</w:t>
      </w:r>
      <w:r>
        <w:rPr>
          <w:rFonts w:hint="eastAsia" w:ascii="仿宋_GB2312" w:eastAsia="仿宋_GB2312"/>
          <w:b w:val="0"/>
          <w:bCs w:val="0"/>
          <w:color w:val="000000"/>
          <w:sz w:val="32"/>
          <w:lang w:eastAsia="zh-CN"/>
        </w:rPr>
        <w:t>建议</w:t>
      </w:r>
      <w:r>
        <w:rPr>
          <w:rFonts w:hint="eastAsia" w:ascii="仿宋_GB2312" w:eastAsia="仿宋_GB2312"/>
          <w:b w:val="0"/>
          <w:bCs w:val="0"/>
          <w:color w:val="000000"/>
          <w:sz w:val="32"/>
        </w:rPr>
        <w:t>。</w:t>
      </w:r>
      <w:r>
        <w:rPr>
          <w:rFonts w:hint="eastAsia" w:ascii="仿宋_GB2312" w:eastAsia="仿宋_GB2312"/>
          <w:b w:val="0"/>
          <w:bCs w:val="0"/>
          <w:color w:val="000000"/>
          <w:sz w:val="32"/>
          <w:lang w:eastAsia="zh-CN"/>
        </w:rPr>
        <w:t>提出立项建议，应当书面说明制定或者修订行业标准的必要性、可行性、适用范围。符合商务领域标准范围要求的，</w:t>
      </w:r>
      <w:r>
        <w:rPr>
          <w:rFonts w:hint="default" w:ascii="仿宋_GB2312" w:eastAsia="仿宋_GB2312"/>
          <w:b w:val="0"/>
          <w:bCs w:val="0"/>
          <w:color w:val="000000"/>
          <w:sz w:val="32"/>
          <w:lang w:val="en" w:eastAsia="zh-CN"/>
        </w:rPr>
        <w:t>由</w:t>
      </w:r>
      <w:r>
        <w:rPr>
          <w:rFonts w:hint="eastAsia" w:ascii="仿宋_GB2312" w:eastAsia="仿宋_GB2312"/>
          <w:b w:val="0"/>
          <w:bCs w:val="0"/>
          <w:color w:val="000000"/>
          <w:sz w:val="32"/>
          <w:lang w:eastAsia="zh-CN"/>
        </w:rPr>
        <w:t>申请单位向商务部提交行业标准项目立项申请。</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第十</w:t>
      </w:r>
      <w:r>
        <w:rPr>
          <w:rFonts w:hint="eastAsia" w:ascii="仿宋_GB2312" w:eastAsia="仿宋_GB2312"/>
          <w:b w:val="0"/>
          <w:bCs w:val="0"/>
          <w:color w:val="000000"/>
          <w:sz w:val="32"/>
          <w:lang w:eastAsia="zh-CN"/>
        </w:rPr>
        <w:t>一</w:t>
      </w:r>
      <w:r>
        <w:rPr>
          <w:rFonts w:hint="eastAsia" w:ascii="仿宋_GB2312" w:eastAsia="仿宋_GB2312"/>
          <w:b w:val="0"/>
          <w:bCs w:val="0"/>
          <w:color w:val="000000"/>
          <w:sz w:val="32"/>
        </w:rPr>
        <w:t>条</w:t>
      </w:r>
      <w:r>
        <w:rPr>
          <w:rFonts w:hint="eastAsia" w:ascii="仿宋_GB2312" w:eastAsia="仿宋_GB2312"/>
          <w:b w:val="0"/>
          <w:bCs w:val="0"/>
          <w:color w:val="000000"/>
          <w:sz w:val="32"/>
          <w:lang w:val="en-US" w:eastAsia="zh-CN"/>
        </w:rPr>
        <w:t xml:space="preserve"> </w:t>
      </w:r>
      <w:r>
        <w:rPr>
          <w:rFonts w:hint="eastAsia" w:ascii="仿宋_GB2312" w:eastAsia="仿宋_GB2312"/>
          <w:b w:val="0"/>
          <w:bCs w:val="0"/>
          <w:color w:val="000000"/>
          <w:sz w:val="32"/>
          <w:lang w:eastAsia="zh-CN"/>
        </w:rPr>
        <w:t>申请</w:t>
      </w:r>
      <w:r>
        <w:rPr>
          <w:rFonts w:hint="eastAsia" w:ascii="仿宋_GB2312" w:eastAsia="仿宋_GB2312"/>
          <w:b w:val="0"/>
          <w:bCs w:val="0"/>
          <w:color w:val="000000"/>
          <w:sz w:val="32"/>
        </w:rPr>
        <w:t>单位在提出立项申请前，应</w:t>
      </w:r>
      <w:r>
        <w:rPr>
          <w:rFonts w:hint="eastAsia" w:ascii="仿宋_GB2312" w:eastAsia="仿宋_GB2312"/>
          <w:b w:val="0"/>
          <w:bCs w:val="0"/>
          <w:color w:val="000000"/>
          <w:sz w:val="32"/>
          <w:lang w:eastAsia="zh-CN"/>
        </w:rPr>
        <w:t>开展</w:t>
      </w:r>
      <w:r>
        <w:rPr>
          <w:rFonts w:hint="eastAsia" w:ascii="仿宋_GB2312" w:eastAsia="仿宋_GB2312"/>
          <w:b w:val="0"/>
          <w:bCs w:val="0"/>
          <w:color w:val="000000"/>
          <w:sz w:val="32"/>
        </w:rPr>
        <w:t>调查</w:t>
      </w:r>
      <w:r>
        <w:rPr>
          <w:rFonts w:hint="eastAsia" w:ascii="仿宋_GB2312" w:eastAsia="仿宋_GB2312"/>
          <w:b w:val="0"/>
          <w:bCs w:val="0"/>
          <w:color w:val="000000"/>
          <w:sz w:val="32"/>
          <w:lang w:eastAsia="zh-CN"/>
        </w:rPr>
        <w:t>研究</w:t>
      </w:r>
      <w:r>
        <w:rPr>
          <w:rFonts w:hint="eastAsia" w:ascii="仿宋_GB2312" w:eastAsia="仿宋_GB2312"/>
          <w:b w:val="0"/>
          <w:bCs w:val="0"/>
          <w:color w:val="000000"/>
          <w:sz w:val="32"/>
        </w:rPr>
        <w:t>，</w:t>
      </w:r>
      <w:r>
        <w:rPr>
          <w:rFonts w:hint="eastAsia" w:ascii="仿宋_GB2312" w:eastAsia="仿宋_GB2312"/>
          <w:b w:val="0"/>
          <w:bCs w:val="0"/>
          <w:color w:val="000000"/>
          <w:sz w:val="32"/>
          <w:lang w:eastAsia="zh-CN"/>
        </w:rPr>
        <w:t>对行业标准项目的必要性和可行性进行论证</w:t>
      </w:r>
      <w:r>
        <w:rPr>
          <w:rFonts w:hint="eastAsia" w:ascii="仿宋_GB2312" w:eastAsia="仿宋_GB2312"/>
          <w:b w:val="0"/>
          <w:bCs w:val="0"/>
          <w:color w:val="000000"/>
          <w:sz w:val="32"/>
        </w:rPr>
        <w:t>。</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lang w:eastAsia="zh-CN"/>
        </w:rPr>
        <w:t>第十二条</w:t>
      </w:r>
      <w:r>
        <w:rPr>
          <w:rFonts w:hint="eastAsia" w:ascii="仿宋_GB2312" w:eastAsia="仿宋_GB2312"/>
          <w:b w:val="0"/>
          <w:bCs w:val="0"/>
          <w:color w:val="000000"/>
          <w:sz w:val="32"/>
          <w:lang w:val="en-US" w:eastAsia="zh-CN"/>
        </w:rPr>
        <w:t xml:space="preserve"> </w:t>
      </w:r>
      <w:r>
        <w:rPr>
          <w:rFonts w:hint="eastAsia" w:ascii="仿宋_GB2312" w:eastAsia="仿宋_GB2312"/>
          <w:b w:val="0"/>
          <w:bCs w:val="0"/>
          <w:color w:val="000000"/>
          <w:sz w:val="32"/>
        </w:rPr>
        <w:t>立项申请材料应包括项目建议书和标准草案，说明制定行业标准的必要性、可行性</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国内外标准情况、采用国际标准情况</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主要技术要求等。</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十三</w:t>
      </w:r>
      <w:r>
        <w:rPr>
          <w:rFonts w:hint="eastAsia" w:ascii="仿宋_GB2312" w:eastAsia="仿宋_GB2312"/>
          <w:b w:val="0"/>
          <w:bCs w:val="0"/>
          <w:color w:val="000000"/>
          <w:sz w:val="32"/>
        </w:rPr>
        <w:t>条 商务部对行业标准项目进行评估</w:t>
      </w:r>
      <w:r>
        <w:rPr>
          <w:rFonts w:hint="eastAsia" w:ascii="仿宋_GB2312" w:hAnsi="仿宋_GB2312" w:eastAsia="仿宋_GB2312" w:cs="仿宋_GB2312"/>
          <w:b w:val="0"/>
          <w:bCs w:val="0"/>
          <w:color w:val="000000"/>
          <w:sz w:val="32"/>
          <w:lang w:eastAsia="zh-CN"/>
        </w:rPr>
        <w:t>。</w:t>
      </w:r>
      <w:r>
        <w:rPr>
          <w:rFonts w:hint="eastAsia" w:ascii="仿宋_GB2312" w:eastAsia="仿宋_GB2312"/>
          <w:b w:val="0"/>
          <w:bCs w:val="0"/>
          <w:color w:val="000000"/>
          <w:sz w:val="32"/>
          <w:lang w:eastAsia="zh-CN"/>
        </w:rPr>
        <w:t>经评估</w:t>
      </w:r>
      <w:r>
        <w:rPr>
          <w:rFonts w:hint="eastAsia" w:ascii="仿宋_GB2312" w:eastAsia="仿宋_GB2312"/>
          <w:b w:val="0"/>
          <w:bCs w:val="0"/>
          <w:color w:val="000000"/>
          <w:sz w:val="32"/>
        </w:rPr>
        <w:t>决定予以立项的，商务部下达行业标准项目计划</w:t>
      </w:r>
      <w:r>
        <w:rPr>
          <w:rFonts w:hint="eastAsia" w:ascii="仿宋_GB2312" w:eastAsia="仿宋_GB2312"/>
          <w:b w:val="0"/>
          <w:bCs w:val="0"/>
          <w:color w:val="000000"/>
          <w:sz w:val="32"/>
          <w:lang w:eastAsia="zh-CN"/>
        </w:rPr>
        <w:t>，技术委员会组建起草组并明确起草单位</w:t>
      </w:r>
      <w:r>
        <w:rPr>
          <w:rFonts w:hint="eastAsia" w:ascii="仿宋_GB2312" w:eastAsia="仿宋_GB2312"/>
          <w:b w:val="0"/>
          <w:bCs w:val="0"/>
          <w:color w:val="000000"/>
          <w:sz w:val="32"/>
        </w:rPr>
        <w:t>。决定不予立项的，向</w:t>
      </w:r>
      <w:r>
        <w:rPr>
          <w:rFonts w:hint="eastAsia" w:ascii="仿宋_GB2312" w:eastAsia="仿宋_GB2312"/>
          <w:b w:val="0"/>
          <w:bCs w:val="0"/>
          <w:color w:val="000000"/>
          <w:sz w:val="32"/>
          <w:lang w:eastAsia="zh-CN"/>
        </w:rPr>
        <w:t>申请单位</w:t>
      </w:r>
      <w:r>
        <w:rPr>
          <w:rFonts w:hint="eastAsia" w:ascii="仿宋_GB2312" w:eastAsia="仿宋_GB2312"/>
          <w:b w:val="0"/>
          <w:bCs w:val="0"/>
          <w:color w:val="000000"/>
          <w:sz w:val="32"/>
        </w:rPr>
        <w:t>反馈不予立项的理由。</w:t>
      </w:r>
    </w:p>
    <w:p>
      <w:pPr>
        <w:keepNext w:val="0"/>
        <w:keepLines w:val="0"/>
        <w:pageBreakBefore w:val="0"/>
        <w:widowControl/>
        <w:kinsoku/>
        <w:wordWrap/>
        <w:overflowPunct/>
        <w:topLinePunct w:val="0"/>
        <w:autoSpaceDE/>
        <w:autoSpaceDN/>
        <w:bidi w:val="0"/>
        <w:adjustRightInd/>
        <w:snapToGrid/>
        <w:ind w:firstLine="640" w:firstLineChars="200"/>
        <w:jc w:val="left"/>
        <w:rPr>
          <w:rFonts w:hint="eastAsia" w:ascii="仿宋_GB2312" w:hAnsi="仿宋_GB2312" w:eastAsia="仿宋_GB2312" w:cs="仿宋_GB2312"/>
          <w:b w:val="0"/>
          <w:bCs w:val="0"/>
          <w:i w:val="0"/>
          <w:caps w:val="0"/>
          <w:color w:val="000000"/>
          <w:spacing w:val="0"/>
          <w:kern w:val="2"/>
          <w:sz w:val="32"/>
          <w:szCs w:val="22"/>
          <w:lang w:val="en-US" w:eastAsia="zh-CN" w:bidi="ar"/>
        </w:rPr>
      </w:pPr>
      <w:r>
        <w:rPr>
          <w:rFonts w:hint="eastAsia" w:ascii="仿宋_GB2312" w:hAnsi="仿宋_GB2312" w:eastAsia="仿宋_GB2312" w:cs="仿宋_GB2312"/>
          <w:b w:val="0"/>
          <w:bCs w:val="0"/>
          <w:i w:val="0"/>
          <w:caps w:val="0"/>
          <w:color w:val="000000"/>
          <w:spacing w:val="0"/>
          <w:kern w:val="2"/>
          <w:sz w:val="32"/>
          <w:szCs w:val="22"/>
          <w:lang w:val="en-US" w:eastAsia="zh-CN" w:bidi="ar"/>
        </w:rPr>
        <w:t>第十四条 必要时，商务部可以依法直接下达</w:t>
      </w:r>
      <w:r>
        <w:rPr>
          <w:rFonts w:hint="eastAsia" w:ascii="仿宋_GB2312" w:hAnsi="仿宋_GB2312" w:eastAsia="仿宋_GB2312" w:cs="仿宋_GB2312"/>
          <w:b w:val="0"/>
          <w:bCs w:val="0"/>
          <w:i w:val="0"/>
          <w:caps w:val="0"/>
          <w:color w:val="000000"/>
          <w:spacing w:val="0"/>
          <w:kern w:val="2"/>
          <w:sz w:val="32"/>
          <w:szCs w:val="22"/>
          <w:lang w:val="en" w:eastAsia="zh-CN" w:bidi="ar"/>
        </w:rPr>
        <w:t>行业</w:t>
      </w:r>
      <w:r>
        <w:rPr>
          <w:rFonts w:hint="eastAsia" w:ascii="仿宋_GB2312" w:hAnsi="仿宋_GB2312" w:eastAsia="仿宋_GB2312" w:cs="仿宋_GB2312"/>
          <w:b w:val="0"/>
          <w:bCs w:val="0"/>
          <w:i w:val="0"/>
          <w:caps w:val="0"/>
          <w:color w:val="000000"/>
          <w:spacing w:val="0"/>
          <w:kern w:val="2"/>
          <w:sz w:val="32"/>
          <w:szCs w:val="22"/>
          <w:lang w:val="en-US" w:eastAsia="zh-CN" w:bidi="ar"/>
        </w:rPr>
        <w:t>标准项目计划。</w:t>
      </w:r>
    </w:p>
    <w:p>
      <w:pPr>
        <w:keepNext w:val="0"/>
        <w:keepLines w:val="0"/>
        <w:pageBreakBefore w:val="0"/>
        <w:widowControl/>
        <w:kinsoku/>
        <w:wordWrap/>
        <w:overflowPunct/>
        <w:topLinePunct w:val="0"/>
        <w:autoSpaceDE/>
        <w:autoSpaceDN/>
        <w:bidi w:val="0"/>
        <w:adjustRightInd/>
        <w:snapToGrid/>
        <w:ind w:firstLine="640" w:firstLineChars="200"/>
        <w:jc w:val="both"/>
        <w:rPr>
          <w:rFonts w:hint="eastAsia" w:ascii="仿宋_GB2312" w:hAnsi="仿宋_GB2312" w:eastAsia="仿宋_GB2312" w:cs="仿宋_GB2312"/>
          <w:b w:val="0"/>
          <w:bCs w:val="0"/>
          <w:i w:val="0"/>
          <w:caps w:val="0"/>
          <w:color w:val="000000"/>
          <w:spacing w:val="0"/>
          <w:kern w:val="2"/>
          <w:sz w:val="32"/>
          <w:szCs w:val="22"/>
          <w:lang w:val="en-US" w:eastAsia="zh-CN" w:bidi="ar"/>
        </w:rPr>
      </w:pPr>
      <w:r>
        <w:rPr>
          <w:rFonts w:hint="eastAsia" w:ascii="仿宋_GB2312" w:hAnsi="仿宋_GB2312" w:eastAsia="仿宋_GB2312" w:cs="仿宋_GB2312"/>
          <w:b w:val="0"/>
          <w:bCs w:val="0"/>
          <w:i w:val="0"/>
          <w:caps w:val="0"/>
          <w:color w:val="000000"/>
          <w:spacing w:val="0"/>
          <w:kern w:val="2"/>
          <w:sz w:val="32"/>
          <w:szCs w:val="22"/>
          <w:lang w:val="en-US" w:eastAsia="zh-CN" w:bidi="ar"/>
        </w:rPr>
        <w:t xml:space="preserve">第十五条 </w:t>
      </w:r>
      <w:r>
        <w:rPr>
          <w:rFonts w:hint="eastAsia" w:ascii="仿宋_GB2312" w:hAnsi="仿宋_GB2312" w:eastAsia="仿宋_GB2312" w:cs="仿宋_GB2312"/>
          <w:b w:val="0"/>
          <w:bCs w:val="0"/>
          <w:i w:val="0"/>
          <w:caps w:val="0"/>
          <w:color w:val="000000"/>
          <w:spacing w:val="0"/>
          <w:kern w:val="2"/>
          <w:sz w:val="32"/>
          <w:szCs w:val="32"/>
          <w:lang w:val="en-US" w:eastAsia="zh-CN" w:bidi="ar"/>
        </w:rPr>
        <w:t>行业标准</w:t>
      </w:r>
      <w:r>
        <w:rPr>
          <w:rFonts w:hint="eastAsia" w:ascii="仿宋_GB2312" w:hAnsi="仿宋_GB2312" w:eastAsia="仿宋_GB2312" w:cs="仿宋_GB2312"/>
          <w:b w:val="0"/>
          <w:bCs w:val="0"/>
          <w:i w:val="0"/>
          <w:caps w:val="0"/>
          <w:color w:val="000000"/>
          <w:spacing w:val="0"/>
          <w:kern w:val="0"/>
          <w:sz w:val="32"/>
          <w:szCs w:val="32"/>
          <w:lang w:val="en-US" w:eastAsia="zh-CN" w:bidi="ar"/>
        </w:rPr>
        <w:t>项目从计划下达到报送标准报批稿的期限一般不超过12个月。</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在规定期限内无法报批的</w:t>
      </w:r>
      <w:r>
        <w:rPr>
          <w:rFonts w:hint="eastAsia" w:ascii="仿宋_GB2312" w:eastAsia="仿宋_GB2312"/>
          <w:b w:val="0"/>
          <w:bCs w:val="0"/>
          <w:color w:val="000000"/>
          <w:sz w:val="32"/>
          <w:lang w:eastAsia="zh-CN"/>
        </w:rPr>
        <w:t>行业标准项目</w:t>
      </w:r>
      <w:r>
        <w:rPr>
          <w:rFonts w:hint="eastAsia" w:ascii="仿宋_GB2312" w:eastAsia="仿宋_GB2312"/>
          <w:b w:val="0"/>
          <w:bCs w:val="0"/>
          <w:color w:val="000000"/>
          <w:sz w:val="32"/>
        </w:rPr>
        <w:t>应当申请延期，延长时限不超过六个月。逾期未完成或无法继续执行的，商务部可终止行业标准计划</w:t>
      </w:r>
      <w:r>
        <w:rPr>
          <w:rFonts w:hint="eastAsia" w:ascii="仿宋_GB2312" w:eastAsia="仿宋_GB2312"/>
          <w:b w:val="0"/>
          <w:bCs w:val="0"/>
          <w:color w:val="000000"/>
          <w:sz w:val="32"/>
          <w:lang w:eastAsia="zh-CN"/>
        </w:rPr>
        <w:t>项目</w:t>
      </w:r>
      <w:r>
        <w:rPr>
          <w:rFonts w:hint="eastAsia" w:ascii="仿宋_GB2312" w:eastAsia="仿宋_GB2312"/>
          <w:b w:val="0"/>
          <w:bCs w:val="0"/>
          <w:color w:val="000000"/>
          <w:sz w:val="32"/>
        </w:rPr>
        <w:t>。</w:t>
      </w:r>
    </w:p>
    <w:p>
      <w:pPr>
        <w:keepNext w:val="0"/>
        <w:keepLines w:val="0"/>
        <w:pageBreakBefore w:val="0"/>
        <w:widowControl/>
        <w:kinsoku/>
        <w:wordWrap/>
        <w:overflowPunct/>
        <w:topLinePunct w:val="0"/>
        <w:autoSpaceDE/>
        <w:autoSpaceDN/>
        <w:bidi w:val="0"/>
        <w:adjustRightInd/>
        <w:snapToGrid/>
        <w:ind w:firstLine="640" w:firstLineChars="200"/>
        <w:textAlignment w:val="baseline"/>
        <w:rPr>
          <w:rFonts w:hint="eastAsia" w:ascii="仿宋_GB2312" w:hAnsi="仿宋_GB2312" w:eastAsia="仿宋_GB2312" w:cs="仿宋_GB2312"/>
          <w:b w:val="0"/>
          <w:bCs w:val="0"/>
          <w:color w:val="000000"/>
          <w:kern w:val="0"/>
          <w:sz w:val="32"/>
          <w:szCs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十</w:t>
      </w:r>
      <w:r>
        <w:rPr>
          <w:rFonts w:hint="eastAsia" w:ascii="仿宋_GB2312" w:hAnsi="仿宋_GB2312" w:eastAsia="仿宋_GB2312" w:cs="仿宋_GB2312"/>
          <w:b w:val="0"/>
          <w:bCs w:val="0"/>
          <w:color w:val="000000"/>
          <w:sz w:val="32"/>
          <w:lang w:eastAsia="zh-CN"/>
        </w:rPr>
        <w:t>六</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行业</w:t>
      </w:r>
      <w:r>
        <w:rPr>
          <w:rFonts w:hint="eastAsia" w:ascii="仿宋_GB2312" w:hAnsi="仿宋_GB2312" w:eastAsia="仿宋_GB2312" w:cs="仿宋_GB2312"/>
          <w:b w:val="0"/>
          <w:bCs w:val="0"/>
          <w:color w:val="000000"/>
          <w:kern w:val="0"/>
          <w:sz w:val="32"/>
          <w:szCs w:val="32"/>
        </w:rPr>
        <w:t>标准项目的名称、起草单位可以申请调整</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由</w:t>
      </w:r>
      <w:r>
        <w:rPr>
          <w:rFonts w:hint="eastAsia" w:ascii="仿宋_GB2312" w:hAnsi="仿宋_GB2312" w:eastAsia="仿宋_GB2312" w:cs="仿宋_GB2312"/>
          <w:b w:val="0"/>
          <w:bCs w:val="0"/>
          <w:color w:val="000000"/>
          <w:kern w:val="0"/>
          <w:sz w:val="32"/>
          <w:szCs w:val="32"/>
          <w:lang w:eastAsia="zh-CN"/>
        </w:rPr>
        <w:t>起草单位</w:t>
      </w:r>
      <w:r>
        <w:rPr>
          <w:rFonts w:hint="eastAsia" w:ascii="仿宋_GB2312" w:hAnsi="仿宋_GB2312" w:eastAsia="仿宋_GB2312" w:cs="仿宋_GB2312"/>
          <w:b w:val="0"/>
          <w:bCs w:val="0"/>
          <w:color w:val="000000"/>
          <w:kern w:val="0"/>
          <w:sz w:val="32"/>
          <w:szCs w:val="32"/>
        </w:rPr>
        <w:t>填写商务领域行业标准计划项目调整申请表，报商务部批准。</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szCs w:val="32"/>
        </w:rPr>
      </w:pPr>
      <w:r>
        <w:rPr>
          <w:rFonts w:hint="eastAsia" w:ascii="仿宋_GB2312" w:hAnsi="仿宋_GB2312" w:eastAsia="仿宋_GB2312" w:cs="仿宋_GB2312"/>
          <w:b w:val="0"/>
          <w:bCs w:val="0"/>
          <w:color w:val="000000"/>
          <w:kern w:val="0"/>
          <w:sz w:val="32"/>
          <w:szCs w:val="32"/>
          <w:lang w:eastAsia="zh-CN"/>
        </w:rPr>
        <w:t>行业</w:t>
      </w:r>
      <w:r>
        <w:rPr>
          <w:rFonts w:hint="eastAsia" w:ascii="仿宋_GB2312" w:hAnsi="仿宋_GB2312" w:eastAsia="仿宋_GB2312" w:cs="仿宋_GB2312"/>
          <w:b w:val="0"/>
          <w:bCs w:val="0"/>
          <w:color w:val="000000"/>
          <w:kern w:val="0"/>
          <w:sz w:val="32"/>
          <w:szCs w:val="32"/>
        </w:rPr>
        <w:t>标准项目</w:t>
      </w:r>
      <w:r>
        <w:rPr>
          <w:rFonts w:hint="eastAsia" w:ascii="仿宋_GB2312" w:hAnsi="仿宋_GB2312" w:eastAsia="仿宋_GB2312" w:cs="仿宋_GB2312"/>
          <w:b w:val="0"/>
          <w:bCs w:val="0"/>
          <w:color w:val="000000"/>
          <w:kern w:val="0"/>
          <w:sz w:val="32"/>
          <w:szCs w:val="32"/>
          <w:lang w:eastAsia="zh-CN"/>
        </w:rPr>
        <w:t>执行过程中出现不宜继续制定的情况，商务部</w:t>
      </w:r>
      <w:r>
        <w:rPr>
          <w:rFonts w:hint="eastAsia" w:ascii="仿宋_GB2312" w:hAnsi="仿宋_GB2312" w:eastAsia="仿宋_GB2312" w:cs="仿宋_GB2312"/>
          <w:b w:val="0"/>
          <w:bCs w:val="0"/>
          <w:color w:val="000000"/>
          <w:kern w:val="0"/>
          <w:sz w:val="32"/>
          <w:szCs w:val="32"/>
        </w:rPr>
        <w:t>可以</w:t>
      </w:r>
      <w:r>
        <w:rPr>
          <w:rFonts w:hint="eastAsia" w:ascii="仿宋_GB2312" w:hAnsi="仿宋_GB2312" w:eastAsia="仿宋_GB2312" w:cs="仿宋_GB2312"/>
          <w:b w:val="0"/>
          <w:bCs w:val="0"/>
          <w:color w:val="000000"/>
          <w:kern w:val="0"/>
          <w:sz w:val="32"/>
          <w:szCs w:val="32"/>
          <w:lang w:eastAsia="zh-CN"/>
        </w:rPr>
        <w:t>终止</w:t>
      </w:r>
      <w:r>
        <w:rPr>
          <w:rFonts w:hint="eastAsia" w:ascii="仿宋_GB2312" w:hAnsi="仿宋_GB2312" w:eastAsia="仿宋_GB2312" w:cs="仿宋_GB2312"/>
          <w:b w:val="0"/>
          <w:bCs w:val="0"/>
          <w:color w:val="000000"/>
          <w:kern w:val="0"/>
          <w:sz w:val="32"/>
          <w:szCs w:val="32"/>
        </w:rPr>
        <w:t>计划项目</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十</w:t>
      </w:r>
      <w:r>
        <w:rPr>
          <w:rFonts w:hint="eastAsia" w:ascii="仿宋_GB2312" w:hAnsi="仿宋_GB2312" w:eastAsia="仿宋_GB2312" w:cs="仿宋_GB2312"/>
          <w:b w:val="0"/>
          <w:bCs w:val="0"/>
          <w:color w:val="000000"/>
          <w:sz w:val="32"/>
          <w:lang w:eastAsia="zh-CN"/>
        </w:rPr>
        <w:t>七</w:t>
      </w:r>
      <w:r>
        <w:rPr>
          <w:rFonts w:hint="eastAsia" w:ascii="仿宋_GB2312" w:eastAsia="仿宋_GB2312"/>
          <w:b w:val="0"/>
          <w:bCs w:val="0"/>
          <w:color w:val="000000"/>
          <w:sz w:val="32"/>
        </w:rPr>
        <w:t>条</w:t>
      </w:r>
      <w:r>
        <w:rPr>
          <w:rFonts w:hint="eastAsia" w:ascii="仿宋_GB2312" w:eastAsia="仿宋_GB2312"/>
          <w:b w:val="0"/>
          <w:bCs w:val="0"/>
          <w:color w:val="000000"/>
          <w:sz w:val="32"/>
          <w:lang w:val="en-US" w:eastAsia="zh-CN"/>
        </w:rPr>
        <w:t xml:space="preserve"> 立项后，</w:t>
      </w:r>
      <w:r>
        <w:rPr>
          <w:rFonts w:hint="eastAsia" w:ascii="仿宋_GB2312" w:eastAsia="仿宋_GB2312"/>
          <w:b w:val="0"/>
          <w:bCs w:val="0"/>
          <w:color w:val="000000"/>
          <w:sz w:val="32"/>
          <w:lang w:eastAsia="zh-CN"/>
        </w:rPr>
        <w:t>起草单位编写行业标准征求意见稿</w:t>
      </w:r>
      <w:r>
        <w:rPr>
          <w:rFonts w:hint="eastAsia" w:ascii="仿宋_GB2312" w:eastAsia="仿宋_GB2312"/>
          <w:b w:val="0"/>
          <w:bCs w:val="0"/>
          <w:color w:val="000000"/>
          <w:sz w:val="32"/>
          <w:lang w:val="en-US" w:eastAsia="zh-CN"/>
        </w:rPr>
        <w:t>及编制说明。</w:t>
      </w:r>
      <w:r>
        <w:rPr>
          <w:rFonts w:hint="eastAsia" w:ascii="仿宋_GB2312" w:eastAsia="仿宋_GB2312"/>
          <w:b w:val="0"/>
          <w:bCs w:val="0"/>
          <w:color w:val="000000"/>
          <w:sz w:val="32"/>
          <w:lang w:eastAsia="zh-CN"/>
        </w:rPr>
        <w:t>征求意见稿</w:t>
      </w:r>
      <w:r>
        <w:rPr>
          <w:rFonts w:hint="eastAsia" w:ascii="仿宋_GB2312" w:eastAsia="仿宋_GB2312"/>
          <w:b w:val="0"/>
          <w:bCs w:val="0"/>
          <w:color w:val="000000"/>
          <w:sz w:val="32"/>
          <w:lang w:val="en-US" w:eastAsia="zh-CN"/>
        </w:rPr>
        <w:t>及编制说明</w:t>
      </w:r>
      <w:r>
        <w:rPr>
          <w:rFonts w:hint="eastAsia" w:ascii="仿宋_GB2312" w:eastAsia="仿宋_GB2312"/>
          <w:b w:val="0"/>
          <w:bCs w:val="0"/>
          <w:color w:val="000000"/>
          <w:sz w:val="32"/>
        </w:rPr>
        <w:t>应</w:t>
      </w:r>
      <w:r>
        <w:rPr>
          <w:rFonts w:hint="eastAsia" w:ascii="仿宋_GB2312" w:eastAsia="仿宋_GB2312"/>
          <w:b w:val="0"/>
          <w:bCs w:val="0"/>
          <w:color w:val="000000"/>
          <w:sz w:val="32"/>
          <w:lang w:eastAsia="zh-CN"/>
        </w:rPr>
        <w:t>符合国家有关标准制修订编写技术文件的</w:t>
      </w:r>
      <w:r>
        <w:rPr>
          <w:rFonts w:hint="eastAsia" w:ascii="仿宋_GB2312" w:eastAsia="仿宋_GB2312"/>
          <w:b w:val="0"/>
          <w:bCs w:val="0"/>
          <w:color w:val="000000"/>
          <w:sz w:val="32"/>
        </w:rPr>
        <w:t>起草要求</w:t>
      </w:r>
      <w:r>
        <w:rPr>
          <w:rFonts w:hint="eastAsia" w:ascii="仿宋_GB2312" w:eastAsia="仿宋_GB2312"/>
          <w:b w:val="0"/>
          <w:bCs w:val="0"/>
          <w:color w:val="000000"/>
          <w:sz w:val="32"/>
          <w:lang w:eastAsia="zh-CN"/>
        </w:rPr>
        <w:t>，其中</w:t>
      </w:r>
      <w:r>
        <w:rPr>
          <w:rFonts w:hint="eastAsia" w:ascii="仿宋_GB2312" w:eastAsia="仿宋_GB2312"/>
          <w:b w:val="0"/>
          <w:bCs w:val="0"/>
          <w:color w:val="000000"/>
          <w:sz w:val="32"/>
        </w:rPr>
        <w:t>编制说明包括以下内容：</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工作简况，与有关法律法规、强制性标准、其他推荐性标准的协调性，编制原则和主要内容，推广应用论证和预期达到的经济效果，采用国际标准和国外先进标准情况，重大分歧意见的处理经过和依据，贯彻标准的要求和措施建议等。</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十</w:t>
      </w:r>
      <w:r>
        <w:rPr>
          <w:rFonts w:hint="eastAsia" w:ascii="仿宋_GB2312" w:hAnsi="仿宋_GB2312" w:eastAsia="仿宋_GB2312" w:cs="仿宋_GB2312"/>
          <w:b w:val="0"/>
          <w:bCs w:val="0"/>
          <w:color w:val="000000"/>
          <w:sz w:val="32"/>
          <w:lang w:eastAsia="zh-CN"/>
        </w:rPr>
        <w:t>八</w:t>
      </w:r>
      <w:r>
        <w:rPr>
          <w:rFonts w:hint="eastAsia" w:ascii="仿宋_GB2312" w:eastAsia="仿宋_GB2312"/>
          <w:b w:val="0"/>
          <w:bCs w:val="0"/>
          <w:color w:val="000000"/>
          <w:sz w:val="32"/>
        </w:rPr>
        <w:t>条</w:t>
      </w:r>
      <w:r>
        <w:rPr>
          <w:rFonts w:hint="eastAsia" w:ascii="仿宋_GB2312" w:eastAsia="仿宋_GB2312"/>
          <w:b w:val="0"/>
          <w:bCs w:val="0"/>
          <w:color w:val="000000"/>
          <w:sz w:val="32"/>
          <w:lang w:val="en-US" w:eastAsia="zh-CN"/>
        </w:rPr>
        <w:t xml:space="preserve"> 商务领域行业标准应采取多种方式征求意见。</w:t>
      </w:r>
      <w:r>
        <w:rPr>
          <w:rFonts w:hint="eastAsia" w:ascii="仿宋_GB2312" w:eastAsia="仿宋_GB2312"/>
          <w:b w:val="0"/>
          <w:bCs w:val="0"/>
          <w:color w:val="000000"/>
          <w:sz w:val="32"/>
          <w:lang w:eastAsia="zh-CN"/>
        </w:rPr>
        <w:t>起草单位应就行业标准征求意见稿和编制说明，</w:t>
      </w:r>
      <w:r>
        <w:rPr>
          <w:rFonts w:hint="eastAsia" w:ascii="仿宋_GB2312" w:eastAsia="仿宋_GB2312"/>
          <w:b w:val="0"/>
          <w:bCs w:val="0"/>
          <w:color w:val="000000"/>
          <w:sz w:val="32"/>
        </w:rPr>
        <w:t>向</w:t>
      </w:r>
      <w:r>
        <w:rPr>
          <w:rFonts w:hint="eastAsia" w:ascii="仿宋_GB2312" w:eastAsia="仿宋_GB2312"/>
          <w:b w:val="0"/>
          <w:bCs w:val="0"/>
          <w:color w:val="000000"/>
          <w:sz w:val="32"/>
          <w:lang w:eastAsia="zh-CN"/>
        </w:rPr>
        <w:t>涉及的有关部门、社会团体、企事业单位</w:t>
      </w:r>
      <w:r>
        <w:rPr>
          <w:rFonts w:hint="eastAsia" w:ascii="仿宋_GB2312" w:eastAsia="仿宋_GB2312"/>
          <w:b w:val="0"/>
          <w:bCs w:val="0"/>
          <w:color w:val="000000"/>
          <w:sz w:val="32"/>
        </w:rPr>
        <w:t>、科研院所、专家等书面征求意见</w:t>
      </w:r>
      <w:r>
        <w:rPr>
          <w:rFonts w:hint="eastAsia" w:ascii="仿宋_GB2312" w:eastAsia="仿宋_GB2312"/>
          <w:b w:val="0"/>
          <w:bCs w:val="0"/>
          <w:color w:val="000000"/>
          <w:sz w:val="32"/>
          <w:lang w:eastAsia="zh-CN"/>
        </w:rPr>
        <w:t>，同时在商务部网站</w:t>
      </w:r>
      <w:r>
        <w:rPr>
          <w:rFonts w:hint="eastAsia" w:ascii="仿宋_GB2312" w:eastAsia="仿宋_GB2312"/>
          <w:b w:val="0"/>
          <w:bCs w:val="0"/>
          <w:color w:val="000000"/>
          <w:sz w:val="32"/>
        </w:rPr>
        <w:t>向社会公开征求意见。</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hAnsi="仿宋_GB2312" w:eastAsia="仿宋_GB2312" w:cs="仿宋_GB2312"/>
          <w:b w:val="0"/>
          <w:bCs w:val="0"/>
          <w:color w:val="000000"/>
          <w:sz w:val="32"/>
          <w:lang w:eastAsia="zh-CN"/>
        </w:rPr>
        <w:t>十九</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起草单位</w:t>
      </w:r>
      <w:r>
        <w:rPr>
          <w:rFonts w:hint="eastAsia" w:ascii="仿宋_GB2312" w:eastAsia="仿宋_GB2312"/>
          <w:b w:val="0"/>
          <w:bCs w:val="0"/>
          <w:color w:val="000000"/>
          <w:sz w:val="32"/>
        </w:rPr>
        <w:t>对征集的意见进行处理，</w:t>
      </w:r>
      <w:r>
        <w:rPr>
          <w:rFonts w:hint="eastAsia" w:ascii="仿宋_GB2312" w:eastAsia="仿宋_GB2312"/>
          <w:b w:val="0"/>
          <w:bCs w:val="0"/>
          <w:color w:val="000000"/>
          <w:sz w:val="32"/>
          <w:lang w:eastAsia="zh-CN"/>
        </w:rPr>
        <w:t>经技术委员会审核后，</w:t>
      </w:r>
      <w:r>
        <w:rPr>
          <w:rFonts w:hint="eastAsia" w:ascii="仿宋_GB2312" w:eastAsia="仿宋_GB2312"/>
          <w:b w:val="0"/>
          <w:bCs w:val="0"/>
          <w:color w:val="000000"/>
          <w:sz w:val="32"/>
        </w:rPr>
        <w:t>形成送审材料报商务部</w:t>
      </w:r>
      <w:r>
        <w:rPr>
          <w:rFonts w:hint="eastAsia" w:ascii="仿宋_GB2312" w:eastAsia="仿宋_GB2312"/>
          <w:b w:val="0"/>
          <w:bCs w:val="0"/>
          <w:color w:val="000000"/>
          <w:sz w:val="32"/>
          <w:lang w:eastAsia="zh-CN"/>
        </w:rPr>
        <w:t>，没有技术委员会的直接报送商务部（相关司局）</w:t>
      </w:r>
      <w:r>
        <w:rPr>
          <w:rFonts w:hint="eastAsia" w:ascii="仿宋_GB2312" w:eastAsia="仿宋_GB2312"/>
          <w:b w:val="0"/>
          <w:bCs w:val="0"/>
          <w:color w:val="000000"/>
          <w:sz w:val="32"/>
        </w:rPr>
        <w:t>。送审材料包括：标准送审稿、编制说明、征求意见汇总处理表、初审意见表。</w:t>
      </w:r>
      <w:r>
        <w:rPr>
          <w:rFonts w:hint="eastAsia" w:ascii="仿宋_GB2312" w:eastAsia="仿宋_GB2312"/>
          <w:b w:val="0"/>
          <w:bCs w:val="0"/>
          <w:color w:val="000000"/>
          <w:sz w:val="32"/>
          <w:lang w:eastAsia="zh-CN"/>
        </w:rPr>
        <w:t>没有</w:t>
      </w:r>
      <w:r>
        <w:rPr>
          <w:rFonts w:hint="eastAsia" w:ascii="仿宋_GB2312" w:eastAsia="仿宋_GB2312"/>
          <w:b w:val="0"/>
          <w:bCs w:val="0"/>
          <w:color w:val="000000"/>
          <w:sz w:val="32"/>
        </w:rPr>
        <w:t>技术委员会</w:t>
      </w:r>
      <w:r>
        <w:rPr>
          <w:rFonts w:hint="eastAsia" w:ascii="仿宋_GB2312" w:eastAsia="仿宋_GB2312"/>
          <w:b w:val="0"/>
          <w:bCs w:val="0"/>
          <w:color w:val="000000"/>
          <w:sz w:val="32"/>
          <w:lang w:eastAsia="zh-CN"/>
        </w:rPr>
        <w:t>的领域，由起草单位承担上述工作。</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第二十条</w:t>
      </w:r>
      <w:r>
        <w:rPr>
          <w:rFonts w:hint="eastAsia" w:ascii="仿宋_GB2312" w:eastAsia="仿宋_GB2312"/>
          <w:b w:val="0"/>
          <w:bCs w:val="0"/>
          <w:color w:val="000000"/>
          <w:sz w:val="32"/>
          <w:lang w:val="en-US" w:eastAsia="zh-CN"/>
        </w:rPr>
        <w:t xml:space="preserve"> </w:t>
      </w:r>
      <w:r>
        <w:rPr>
          <w:rFonts w:hint="eastAsia" w:ascii="仿宋_GB2312" w:eastAsia="仿宋_GB2312"/>
          <w:b w:val="0"/>
          <w:bCs w:val="0"/>
          <w:color w:val="000000"/>
          <w:sz w:val="32"/>
        </w:rPr>
        <w:t>商务部对行业标准送审材料进行审核。审核</w:t>
      </w:r>
      <w:r>
        <w:rPr>
          <w:rFonts w:hint="eastAsia" w:ascii="仿宋_GB2312" w:eastAsia="仿宋_GB2312"/>
          <w:b w:val="0"/>
          <w:bCs w:val="0"/>
          <w:color w:val="000000"/>
          <w:sz w:val="32"/>
          <w:lang w:eastAsia="zh-CN"/>
        </w:rPr>
        <w:t>包括</w:t>
      </w:r>
      <w:r>
        <w:rPr>
          <w:rFonts w:hint="eastAsia" w:ascii="仿宋_GB2312" w:eastAsia="仿宋_GB2312"/>
          <w:b w:val="0"/>
          <w:bCs w:val="0"/>
          <w:color w:val="000000"/>
          <w:sz w:val="32"/>
        </w:rPr>
        <w:t>以下内容：</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标准制定程序、送审材料</w:t>
      </w:r>
      <w:r>
        <w:rPr>
          <w:rFonts w:hint="eastAsia" w:ascii="仿宋_GB2312" w:eastAsia="仿宋_GB2312"/>
          <w:b w:val="0"/>
          <w:bCs w:val="0"/>
          <w:color w:val="000000"/>
          <w:sz w:val="32"/>
          <w:lang w:eastAsia="zh-CN"/>
        </w:rPr>
        <w:t>是否规范，是否符合有关法律、法规、产业政策的规定，</w:t>
      </w:r>
      <w:r>
        <w:rPr>
          <w:rFonts w:hint="eastAsia" w:ascii="仿宋_GB2312" w:eastAsia="仿宋_GB2312"/>
          <w:b w:val="0"/>
          <w:bCs w:val="0"/>
          <w:color w:val="000000"/>
          <w:sz w:val="32"/>
        </w:rPr>
        <w:t>技术内容的科学性、合理性</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标准之间的协调性</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重大分歧意见处理情况</w:t>
      </w:r>
      <w:r>
        <w:rPr>
          <w:rFonts w:hint="eastAsia" w:ascii="仿宋_GB2312" w:eastAsia="仿宋_GB2312"/>
          <w:b w:val="0"/>
          <w:bCs w:val="0"/>
          <w:color w:val="000000"/>
          <w:sz w:val="32"/>
          <w:lang w:eastAsia="zh-CN"/>
        </w:rPr>
        <w:t>等</w:t>
      </w:r>
      <w:r>
        <w:rPr>
          <w:rFonts w:hint="eastAsia" w:ascii="仿宋_GB2312" w:eastAsia="仿宋_GB2312"/>
          <w:b w:val="0"/>
          <w:bCs w:val="0"/>
          <w:color w:val="000000"/>
          <w:sz w:val="32"/>
        </w:rPr>
        <w:t>。</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lang w:eastAsia="zh-CN"/>
        </w:rPr>
      </w:pPr>
      <w:r>
        <w:rPr>
          <w:rFonts w:hint="eastAsia" w:ascii="仿宋_GB2312" w:eastAsia="仿宋_GB2312"/>
          <w:b w:val="0"/>
          <w:bCs w:val="0"/>
          <w:color w:val="000000"/>
          <w:sz w:val="32"/>
        </w:rPr>
        <w:t>第二十</w:t>
      </w:r>
      <w:r>
        <w:rPr>
          <w:rFonts w:hint="eastAsia" w:ascii="仿宋_GB2312" w:hAnsi="仿宋_GB2312" w:eastAsia="仿宋_GB2312" w:cs="仿宋_GB2312"/>
          <w:b w:val="0"/>
          <w:bCs w:val="0"/>
          <w:color w:val="000000"/>
          <w:sz w:val="32"/>
          <w:lang w:eastAsia="zh-CN"/>
        </w:rPr>
        <w:t>一</w:t>
      </w:r>
      <w:r>
        <w:rPr>
          <w:rFonts w:hint="eastAsia" w:ascii="仿宋_GB2312" w:eastAsia="仿宋_GB2312"/>
          <w:b w:val="0"/>
          <w:bCs w:val="0"/>
          <w:color w:val="000000"/>
          <w:sz w:val="32"/>
        </w:rPr>
        <w:t>条 商务部审核通过后，技术委员会负责对本专业领域行业标准送审稿进行</w:t>
      </w:r>
      <w:r>
        <w:rPr>
          <w:rFonts w:hint="eastAsia" w:ascii="仿宋_GB2312" w:eastAsia="仿宋_GB2312"/>
          <w:b w:val="0"/>
          <w:bCs w:val="0"/>
          <w:color w:val="000000"/>
          <w:sz w:val="32"/>
          <w:lang w:eastAsia="zh-CN"/>
        </w:rPr>
        <w:t>技术</w:t>
      </w:r>
      <w:r>
        <w:rPr>
          <w:rFonts w:hint="eastAsia" w:ascii="仿宋_GB2312" w:eastAsia="仿宋_GB2312"/>
          <w:b w:val="0"/>
          <w:bCs w:val="0"/>
          <w:color w:val="000000"/>
          <w:sz w:val="32"/>
        </w:rPr>
        <w:t>审查。没有技术委员会的，由商务部成立专家组承担</w:t>
      </w:r>
      <w:r>
        <w:rPr>
          <w:rFonts w:hint="eastAsia" w:ascii="仿宋_GB2312" w:eastAsia="仿宋_GB2312"/>
          <w:b w:val="0"/>
          <w:bCs w:val="0"/>
          <w:color w:val="000000"/>
          <w:sz w:val="32"/>
          <w:lang w:eastAsia="zh-CN"/>
        </w:rPr>
        <w:t>技术</w:t>
      </w:r>
      <w:r>
        <w:rPr>
          <w:rFonts w:hint="eastAsia" w:ascii="仿宋_GB2312" w:eastAsia="仿宋_GB2312"/>
          <w:b w:val="0"/>
          <w:bCs w:val="0"/>
          <w:color w:val="000000"/>
          <w:sz w:val="32"/>
        </w:rPr>
        <w:t>审查工作。</w:t>
      </w:r>
      <w:r>
        <w:rPr>
          <w:rFonts w:hint="eastAsia" w:ascii="仿宋_GB2312" w:hAnsi="仿宋_GB2312" w:eastAsia="仿宋_GB2312" w:cs="仿宋_GB2312"/>
          <w:b w:val="0"/>
          <w:bCs w:val="0"/>
          <w:color w:val="000000"/>
          <w:sz w:val="32"/>
          <w:lang w:eastAsia="zh-CN"/>
        </w:rPr>
        <w:t>技术</w:t>
      </w:r>
      <w:r>
        <w:rPr>
          <w:rFonts w:hint="eastAsia" w:ascii="仿宋_GB2312" w:eastAsia="仿宋_GB2312"/>
          <w:b w:val="0"/>
          <w:bCs w:val="0"/>
          <w:color w:val="000000"/>
          <w:sz w:val="32"/>
          <w:lang w:eastAsia="zh-CN"/>
        </w:rPr>
        <w:t>审查专家组由生产者、经营者、使用者、消费者、公共利益方等相关方组成，教育科研机构、有关行政主管部门、检测及认证机构、社会团体等可以作为公共利益方代表</w:t>
      </w:r>
      <w:r>
        <w:rPr>
          <w:rFonts w:hint="eastAsia" w:ascii="仿宋_GB2312" w:hAnsi="仿宋_GB2312" w:eastAsia="仿宋_GB2312" w:cs="仿宋_GB2312"/>
          <w:b w:val="0"/>
          <w:bCs w:val="0"/>
          <w:color w:val="000000"/>
          <w:sz w:val="32"/>
          <w:lang w:eastAsia="zh-CN"/>
        </w:rPr>
        <w:t>。</w:t>
      </w:r>
      <w:r>
        <w:rPr>
          <w:rFonts w:hint="eastAsia" w:ascii="仿宋_GB2312" w:eastAsia="仿宋_GB2312"/>
          <w:b w:val="0"/>
          <w:bCs w:val="0"/>
          <w:color w:val="000000"/>
          <w:sz w:val="32"/>
          <w:lang w:eastAsia="zh-CN"/>
        </w:rPr>
        <w:t>专家一般不少于</w:t>
      </w:r>
      <w:r>
        <w:rPr>
          <w:rFonts w:hint="eastAsia" w:ascii="仿宋_GB2312" w:eastAsia="仿宋_GB2312"/>
          <w:b w:val="0"/>
          <w:bCs w:val="0"/>
          <w:color w:val="000000"/>
          <w:sz w:val="32"/>
          <w:lang w:val="en-US" w:eastAsia="zh-CN"/>
        </w:rPr>
        <w:t>9人</w:t>
      </w:r>
      <w:r>
        <w:rPr>
          <w:rFonts w:hint="eastAsia" w:ascii="仿宋_GB2312" w:eastAsia="仿宋_GB2312"/>
          <w:b w:val="0"/>
          <w:bCs w:val="0"/>
          <w:color w:val="000000"/>
          <w:sz w:val="32"/>
          <w:lang w:eastAsia="zh-CN"/>
        </w:rPr>
        <w:t>。</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二</w:t>
      </w:r>
      <w:r>
        <w:rPr>
          <w:rFonts w:hint="eastAsia" w:ascii="仿宋_GB2312" w:eastAsia="仿宋_GB2312"/>
          <w:b w:val="0"/>
          <w:bCs w:val="0"/>
          <w:color w:val="000000"/>
          <w:sz w:val="32"/>
        </w:rPr>
        <w:t>条 行业标准</w:t>
      </w:r>
      <w:r>
        <w:rPr>
          <w:rFonts w:hint="eastAsia" w:ascii="仿宋_GB2312" w:eastAsia="仿宋_GB2312"/>
          <w:b w:val="0"/>
          <w:bCs w:val="0"/>
          <w:color w:val="000000"/>
          <w:sz w:val="32"/>
          <w:lang w:eastAsia="zh-CN"/>
        </w:rPr>
        <w:t>技术</w:t>
      </w:r>
      <w:r>
        <w:rPr>
          <w:rFonts w:hint="eastAsia" w:ascii="仿宋_GB2312" w:eastAsia="仿宋_GB2312"/>
          <w:b w:val="0"/>
          <w:bCs w:val="0"/>
          <w:color w:val="000000"/>
          <w:sz w:val="32"/>
        </w:rPr>
        <w:t>审查可采用</w:t>
      </w:r>
      <w:r>
        <w:rPr>
          <w:rFonts w:hint="eastAsia" w:ascii="仿宋_GB2312" w:eastAsia="仿宋_GB2312"/>
          <w:b w:val="0"/>
          <w:bCs w:val="0"/>
          <w:color w:val="000000"/>
          <w:sz w:val="32"/>
          <w:lang w:eastAsia="zh-CN"/>
        </w:rPr>
        <w:t>现场</w:t>
      </w:r>
      <w:r>
        <w:rPr>
          <w:rFonts w:hint="eastAsia" w:ascii="仿宋_GB2312" w:eastAsia="仿宋_GB2312"/>
          <w:b w:val="0"/>
          <w:bCs w:val="0"/>
          <w:color w:val="000000"/>
          <w:sz w:val="32"/>
        </w:rPr>
        <w:t>会议</w:t>
      </w:r>
      <w:r>
        <w:rPr>
          <w:rFonts w:hint="eastAsia" w:ascii="仿宋_GB2312" w:eastAsia="仿宋_GB2312"/>
          <w:b w:val="0"/>
          <w:bCs w:val="0"/>
          <w:color w:val="000000"/>
          <w:sz w:val="32"/>
          <w:lang w:eastAsia="zh-CN"/>
        </w:rPr>
        <w:t>、视频会议等会议形式</w:t>
      </w:r>
      <w:r>
        <w:rPr>
          <w:rFonts w:hint="eastAsia" w:ascii="仿宋_GB2312" w:eastAsia="仿宋_GB2312"/>
          <w:b w:val="0"/>
          <w:bCs w:val="0"/>
          <w:color w:val="000000"/>
          <w:sz w:val="32"/>
        </w:rPr>
        <w:t>审查或函审方式。对于技术、经济、群众生活影响大，涉及面广的标准应当采用会议</w:t>
      </w:r>
      <w:r>
        <w:rPr>
          <w:rFonts w:hint="eastAsia" w:ascii="仿宋_GB2312" w:eastAsia="仿宋_GB2312"/>
          <w:b w:val="0"/>
          <w:bCs w:val="0"/>
          <w:color w:val="000000"/>
          <w:sz w:val="32"/>
          <w:lang w:eastAsia="zh-CN"/>
        </w:rPr>
        <w:t>形式</w:t>
      </w:r>
      <w:r>
        <w:rPr>
          <w:rFonts w:hint="eastAsia" w:ascii="仿宋_GB2312" w:eastAsia="仿宋_GB2312"/>
          <w:b w:val="0"/>
          <w:bCs w:val="0"/>
          <w:color w:val="000000"/>
          <w:sz w:val="32"/>
        </w:rPr>
        <w:t>审查。</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三</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技术</w:t>
      </w:r>
      <w:r>
        <w:rPr>
          <w:rFonts w:hint="eastAsia" w:ascii="仿宋_GB2312" w:eastAsia="仿宋_GB2312"/>
          <w:b w:val="0"/>
          <w:bCs w:val="0"/>
          <w:color w:val="000000"/>
          <w:sz w:val="32"/>
        </w:rPr>
        <w:t>审查内容包括：与国家有关法律法规、方针政策以及相关标准的协调一致性，标准技术内容的必要性、经济性和可操作性，关键技术指标的来源和依据等。</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四</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技术审查原则上应协商一致，如需表决，三分之二以上同意为通过</w:t>
      </w:r>
      <w:r>
        <w:rPr>
          <w:rFonts w:hint="eastAsia" w:ascii="仿宋_GB2312" w:eastAsia="仿宋_GB2312"/>
          <w:b w:val="0"/>
          <w:bCs w:val="0"/>
          <w:color w:val="000000"/>
          <w:sz w:val="32"/>
        </w:rPr>
        <w:t>。</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lang w:eastAsia="zh-CN"/>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五</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技术</w:t>
      </w:r>
      <w:r>
        <w:rPr>
          <w:rFonts w:hint="eastAsia" w:ascii="仿宋_GB2312" w:eastAsia="仿宋_GB2312"/>
          <w:b w:val="0"/>
          <w:bCs w:val="0"/>
          <w:color w:val="000000"/>
          <w:sz w:val="32"/>
        </w:rPr>
        <w:t>审查通过的标准，</w:t>
      </w:r>
      <w:r>
        <w:rPr>
          <w:rFonts w:hint="eastAsia" w:ascii="仿宋_GB2312" w:eastAsia="仿宋_GB2312"/>
          <w:b w:val="0"/>
          <w:bCs w:val="0"/>
          <w:color w:val="000000"/>
          <w:sz w:val="32"/>
          <w:lang w:eastAsia="zh-CN"/>
        </w:rPr>
        <w:t>技术委员会组织起草单位</w:t>
      </w:r>
      <w:r>
        <w:rPr>
          <w:rFonts w:hint="eastAsia" w:ascii="仿宋_GB2312" w:eastAsia="仿宋_GB2312"/>
          <w:b w:val="0"/>
          <w:bCs w:val="0"/>
          <w:color w:val="000000"/>
          <w:sz w:val="32"/>
        </w:rPr>
        <w:t>根据</w:t>
      </w:r>
      <w:r>
        <w:rPr>
          <w:rFonts w:hint="eastAsia" w:ascii="仿宋_GB2312" w:eastAsia="仿宋_GB2312"/>
          <w:b w:val="0"/>
          <w:bCs w:val="0"/>
          <w:color w:val="000000"/>
          <w:sz w:val="32"/>
          <w:lang w:eastAsia="zh-CN"/>
        </w:rPr>
        <w:t>会议</w:t>
      </w:r>
      <w:r>
        <w:rPr>
          <w:rFonts w:hint="eastAsia" w:ascii="仿宋_GB2312" w:eastAsia="仿宋_GB2312"/>
          <w:b w:val="0"/>
          <w:bCs w:val="0"/>
          <w:color w:val="000000"/>
          <w:sz w:val="32"/>
        </w:rPr>
        <w:t>审查</w:t>
      </w:r>
      <w:r>
        <w:rPr>
          <w:rFonts w:hint="eastAsia" w:ascii="仿宋_GB2312" w:eastAsia="仿宋_GB2312"/>
          <w:b w:val="0"/>
          <w:bCs w:val="0"/>
          <w:color w:val="000000"/>
          <w:sz w:val="32"/>
          <w:lang w:eastAsia="zh-CN"/>
        </w:rPr>
        <w:t>或函审</w:t>
      </w:r>
      <w:r>
        <w:rPr>
          <w:rFonts w:hint="eastAsia" w:ascii="仿宋_GB2312" w:eastAsia="仿宋_GB2312"/>
          <w:b w:val="0"/>
          <w:bCs w:val="0"/>
          <w:color w:val="000000"/>
          <w:sz w:val="32"/>
        </w:rPr>
        <w:t>意见修改完善相关材料，形成报批材料报商务部审</w:t>
      </w:r>
      <w:r>
        <w:rPr>
          <w:rFonts w:hint="eastAsia" w:ascii="仿宋_GB2312" w:eastAsia="仿宋_GB2312"/>
          <w:b w:val="0"/>
          <w:bCs w:val="0"/>
          <w:color w:val="000000"/>
          <w:sz w:val="32"/>
          <w:lang w:eastAsia="zh-CN"/>
        </w:rPr>
        <w:t>核</w:t>
      </w:r>
      <w:r>
        <w:rPr>
          <w:rFonts w:hint="eastAsia" w:ascii="仿宋_GB2312" w:eastAsia="仿宋_GB2312"/>
          <w:b w:val="0"/>
          <w:bCs w:val="0"/>
          <w:color w:val="000000"/>
          <w:sz w:val="32"/>
        </w:rPr>
        <w:t>。</w:t>
      </w:r>
      <w:r>
        <w:rPr>
          <w:rFonts w:hint="eastAsia" w:ascii="仿宋_GB2312" w:eastAsia="仿宋_GB2312"/>
          <w:b w:val="0"/>
          <w:bCs w:val="0"/>
          <w:color w:val="000000"/>
          <w:sz w:val="32"/>
          <w:lang w:eastAsia="zh-CN"/>
        </w:rPr>
        <w:t>没有</w:t>
      </w:r>
      <w:r>
        <w:rPr>
          <w:rFonts w:hint="eastAsia" w:ascii="仿宋_GB2312" w:eastAsia="仿宋_GB2312"/>
          <w:b w:val="0"/>
          <w:bCs w:val="0"/>
          <w:color w:val="000000"/>
          <w:sz w:val="32"/>
        </w:rPr>
        <w:t>技术委员会</w:t>
      </w:r>
      <w:r>
        <w:rPr>
          <w:rFonts w:hint="eastAsia" w:ascii="仿宋_GB2312" w:eastAsia="仿宋_GB2312"/>
          <w:b w:val="0"/>
          <w:bCs w:val="0"/>
          <w:color w:val="000000"/>
          <w:sz w:val="32"/>
          <w:lang w:eastAsia="zh-CN"/>
        </w:rPr>
        <w:t>的领域，由起草单位承担上述工作。</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六</w:t>
      </w:r>
      <w:r>
        <w:rPr>
          <w:rFonts w:hint="eastAsia" w:ascii="仿宋_GB2312" w:eastAsia="仿宋_GB2312"/>
          <w:b w:val="0"/>
          <w:bCs w:val="0"/>
          <w:color w:val="000000"/>
          <w:sz w:val="32"/>
        </w:rPr>
        <w:t>条 报批材料包括：标准报批稿、编制说明、审查会意见汇总处理表、</w:t>
      </w:r>
      <w:r>
        <w:rPr>
          <w:rFonts w:hint="eastAsia" w:ascii="仿宋_GB2312" w:eastAsia="仿宋_GB2312"/>
          <w:b w:val="0"/>
          <w:bCs w:val="0"/>
          <w:color w:val="000000"/>
          <w:sz w:val="32"/>
          <w:lang w:eastAsia="zh-CN"/>
        </w:rPr>
        <w:t>技术</w:t>
      </w:r>
      <w:r>
        <w:rPr>
          <w:rFonts w:hint="eastAsia" w:ascii="仿宋_GB2312" w:eastAsia="仿宋_GB2312"/>
          <w:b w:val="0"/>
          <w:bCs w:val="0"/>
          <w:color w:val="000000"/>
          <w:sz w:val="32"/>
        </w:rPr>
        <w:t>审查会会议纪要或函审结论表、审查人员名单、采用国际标准或国外先进标准的原文和译文。</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七</w:t>
      </w:r>
      <w:r>
        <w:rPr>
          <w:rFonts w:hint="eastAsia" w:ascii="仿宋_GB2312" w:eastAsia="仿宋_GB2312"/>
          <w:b w:val="0"/>
          <w:bCs w:val="0"/>
          <w:color w:val="000000"/>
          <w:sz w:val="32"/>
        </w:rPr>
        <w:t>条 商务部对行业标准报批材料</w:t>
      </w:r>
      <w:r>
        <w:rPr>
          <w:rFonts w:hint="eastAsia" w:ascii="仿宋_GB2312" w:eastAsia="仿宋_GB2312"/>
          <w:b w:val="0"/>
          <w:bCs w:val="0"/>
          <w:color w:val="000000"/>
          <w:sz w:val="32"/>
          <w:lang w:eastAsia="zh-CN"/>
        </w:rPr>
        <w:t>的完整性、规范性以及意见处理情况等</w:t>
      </w:r>
      <w:r>
        <w:rPr>
          <w:rFonts w:hint="eastAsia" w:ascii="仿宋_GB2312" w:eastAsia="仿宋_GB2312"/>
          <w:b w:val="0"/>
          <w:bCs w:val="0"/>
          <w:color w:val="000000"/>
          <w:sz w:val="32"/>
        </w:rPr>
        <w:t>进行审核。</w:t>
      </w:r>
      <w:r>
        <w:rPr>
          <w:rFonts w:hint="eastAsia" w:ascii="仿宋_GB2312" w:eastAsia="仿宋_GB2312"/>
          <w:b w:val="0"/>
          <w:bCs w:val="0"/>
          <w:color w:val="000000"/>
          <w:sz w:val="32"/>
          <w:lang w:eastAsia="zh-CN"/>
        </w:rPr>
        <w:t>涉及国计民生、有重大影响的</w:t>
      </w:r>
      <w:r>
        <w:rPr>
          <w:rFonts w:hint="eastAsia" w:ascii="仿宋_GB2312" w:eastAsia="仿宋_GB2312"/>
          <w:b w:val="0"/>
          <w:bCs w:val="0"/>
          <w:color w:val="000000"/>
          <w:sz w:val="32"/>
        </w:rPr>
        <w:t>行业标准发布前</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由商务部再次征求社会或相关方面意见。</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二十</w:t>
      </w:r>
      <w:r>
        <w:rPr>
          <w:rFonts w:hint="eastAsia" w:ascii="仿宋_GB2312" w:hAnsi="仿宋_GB2312" w:eastAsia="仿宋_GB2312" w:cs="仿宋_GB2312"/>
          <w:b w:val="0"/>
          <w:bCs w:val="0"/>
          <w:color w:val="000000"/>
          <w:sz w:val="32"/>
          <w:lang w:eastAsia="zh-CN"/>
        </w:rPr>
        <w:t>八</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经商务部批准的</w:t>
      </w:r>
      <w:r>
        <w:rPr>
          <w:rFonts w:hint="eastAsia" w:ascii="仿宋_GB2312" w:eastAsia="仿宋_GB2312"/>
          <w:b w:val="0"/>
          <w:bCs w:val="0"/>
          <w:color w:val="000000"/>
          <w:sz w:val="32"/>
        </w:rPr>
        <w:t>行业标准由商务部编号，以公告形式发布。</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hAnsi="仿宋_GB2312" w:eastAsia="仿宋_GB2312" w:cs="仿宋_GB2312"/>
          <w:b w:val="0"/>
          <w:bCs w:val="0"/>
          <w:color w:val="000000"/>
          <w:sz w:val="32"/>
          <w:lang w:eastAsia="zh-CN"/>
        </w:rPr>
        <w:t>二十九</w:t>
      </w:r>
      <w:r>
        <w:rPr>
          <w:rFonts w:hint="eastAsia" w:ascii="仿宋_GB2312" w:eastAsia="仿宋_GB2312"/>
          <w:b w:val="0"/>
          <w:bCs w:val="0"/>
          <w:color w:val="000000"/>
          <w:sz w:val="32"/>
        </w:rPr>
        <w:t>条 行业标准代号为“SB/T”（国内贸易行业标准）或“WM/T”（外经贸行业标准）</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rPr>
        <w:t>行业标准编号由行业标准的代号、行业标准发布的顺序号和行业标准发布的年份号组成。</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第三十条 商务</w:t>
      </w:r>
      <w:r>
        <w:rPr>
          <w:rFonts w:hint="eastAsia" w:ascii="仿宋_GB2312" w:eastAsia="仿宋_GB2312"/>
          <w:b w:val="0"/>
          <w:bCs w:val="0"/>
          <w:color w:val="000000"/>
          <w:sz w:val="32"/>
          <w:lang w:eastAsia="zh-CN"/>
        </w:rPr>
        <w:t>领域行业标准文本</w:t>
      </w:r>
      <w:r>
        <w:rPr>
          <w:rFonts w:hint="eastAsia" w:ascii="仿宋_GB2312" w:eastAsia="仿宋_GB2312"/>
          <w:b w:val="0"/>
          <w:bCs w:val="0"/>
          <w:color w:val="000000"/>
          <w:sz w:val="32"/>
        </w:rPr>
        <w:t>在</w:t>
      </w:r>
      <w:r>
        <w:rPr>
          <w:rFonts w:hint="eastAsia" w:ascii="仿宋_GB2312" w:eastAsia="仿宋_GB2312"/>
          <w:b w:val="0"/>
          <w:bCs w:val="0"/>
          <w:color w:val="000000"/>
          <w:sz w:val="32"/>
          <w:lang w:eastAsia="zh-CN"/>
        </w:rPr>
        <w:t>商务部</w:t>
      </w:r>
      <w:r>
        <w:rPr>
          <w:rFonts w:hint="eastAsia" w:ascii="仿宋_GB2312" w:eastAsia="仿宋_GB2312"/>
          <w:b w:val="0"/>
          <w:bCs w:val="0"/>
          <w:color w:val="000000"/>
          <w:sz w:val="32"/>
        </w:rPr>
        <w:t>网站上免费公开，供公众查阅、下载。</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rPr>
        <w:t>第</w:t>
      </w:r>
      <w:r>
        <w:rPr>
          <w:rFonts w:hint="eastAsia" w:ascii="仿宋_GB2312" w:eastAsia="仿宋_GB2312"/>
          <w:b w:val="0"/>
          <w:bCs w:val="0"/>
          <w:color w:val="000000"/>
          <w:sz w:val="32"/>
          <w:lang w:eastAsia="zh-CN"/>
        </w:rPr>
        <w:t>三十</w:t>
      </w:r>
      <w:r>
        <w:rPr>
          <w:rFonts w:hint="eastAsia" w:ascii="仿宋_GB2312" w:hAnsi="仿宋_GB2312" w:eastAsia="仿宋_GB2312" w:cs="仿宋_GB2312"/>
          <w:b w:val="0"/>
          <w:bCs w:val="0"/>
          <w:color w:val="000000"/>
          <w:sz w:val="32"/>
          <w:lang w:eastAsia="zh-CN"/>
        </w:rPr>
        <w:t>一</w:t>
      </w:r>
      <w:r>
        <w:rPr>
          <w:rFonts w:hint="eastAsia" w:ascii="仿宋_GB2312" w:eastAsia="仿宋_GB2312"/>
          <w:b w:val="0"/>
          <w:bCs w:val="0"/>
          <w:color w:val="000000"/>
          <w:sz w:val="32"/>
        </w:rPr>
        <w:t>条 应对突发紧急事件</w:t>
      </w:r>
      <w:r>
        <w:rPr>
          <w:rFonts w:hint="eastAsia" w:ascii="仿宋_GB2312" w:eastAsia="仿宋_GB2312"/>
          <w:b w:val="0"/>
          <w:bCs w:val="0"/>
          <w:color w:val="000000"/>
          <w:sz w:val="32"/>
          <w:lang w:eastAsia="zh-CN"/>
        </w:rPr>
        <w:t>急需</w:t>
      </w:r>
      <w:r>
        <w:rPr>
          <w:rFonts w:hint="eastAsia" w:ascii="仿宋_GB2312" w:eastAsia="仿宋_GB2312"/>
          <w:b w:val="0"/>
          <w:bCs w:val="0"/>
          <w:color w:val="000000"/>
          <w:sz w:val="32"/>
        </w:rPr>
        <w:t>的</w:t>
      </w:r>
      <w:r>
        <w:rPr>
          <w:rFonts w:hint="eastAsia" w:ascii="仿宋_GB2312" w:eastAsia="仿宋_GB2312"/>
          <w:b w:val="0"/>
          <w:bCs w:val="0"/>
          <w:color w:val="000000"/>
          <w:sz w:val="32"/>
          <w:lang w:eastAsia="zh-CN"/>
        </w:rPr>
        <w:t>行业</w:t>
      </w:r>
      <w:r>
        <w:rPr>
          <w:rFonts w:hint="eastAsia" w:ascii="仿宋_GB2312" w:eastAsia="仿宋_GB2312"/>
          <w:b w:val="0"/>
          <w:bCs w:val="0"/>
          <w:color w:val="000000"/>
          <w:sz w:val="32"/>
        </w:rPr>
        <w:t>标准，</w:t>
      </w:r>
      <w:r>
        <w:rPr>
          <w:rFonts w:hint="eastAsia" w:ascii="仿宋_GB2312" w:eastAsia="仿宋_GB2312"/>
          <w:b w:val="0"/>
          <w:bCs w:val="0"/>
          <w:color w:val="000000"/>
          <w:sz w:val="32"/>
          <w:lang w:eastAsia="zh-CN"/>
        </w:rPr>
        <w:t>经商务部批准可简化程序要求</w:t>
      </w:r>
      <w:r>
        <w:rPr>
          <w:rFonts w:hint="eastAsia" w:ascii="仿宋_GB2312" w:eastAsia="仿宋_GB2312"/>
          <w:b w:val="0"/>
          <w:bCs w:val="0"/>
          <w:color w:val="000000"/>
          <w:sz w:val="32"/>
        </w:rPr>
        <w:t>。</w:t>
      </w:r>
    </w:p>
    <w:p>
      <w:pPr>
        <w:keepNext w:val="0"/>
        <w:keepLines w:val="0"/>
        <w:pageBreakBefore w:val="0"/>
        <w:kinsoku/>
        <w:wordWrap/>
        <w:overflowPunct/>
        <w:topLinePunct w:val="0"/>
        <w:autoSpaceDE/>
        <w:autoSpaceDN/>
        <w:bidi w:val="0"/>
        <w:adjustRightInd/>
        <w:snapToGrid/>
        <w:jc w:val="center"/>
        <w:rPr>
          <w:rFonts w:hint="eastAsia" w:ascii="楷体" w:hAnsi="楷体" w:eastAsia="楷体"/>
          <w:b w:val="0"/>
          <w:bCs w:val="0"/>
          <w:color w:val="000000"/>
          <w:sz w:val="32"/>
        </w:rPr>
      </w:pPr>
    </w:p>
    <w:p>
      <w:pPr>
        <w:bidi w:val="0"/>
        <w:jc w:val="center"/>
        <w:rPr>
          <w:rFonts w:hint="eastAsia" w:ascii="黑体" w:hAnsi="黑体" w:eastAsia="黑体"/>
          <w:b w:val="0"/>
          <w:bCs w:val="0"/>
          <w:color w:val="000000"/>
          <w:sz w:val="32"/>
        </w:rPr>
      </w:pPr>
      <w:r>
        <w:rPr>
          <w:rFonts w:hint="eastAsia" w:ascii="黑体" w:hAnsi="黑体" w:eastAsia="黑体"/>
          <w:b w:val="0"/>
          <w:bCs w:val="0"/>
          <w:color w:val="000000"/>
          <w:sz w:val="32"/>
        </w:rPr>
        <w:t>第</w:t>
      </w:r>
      <w:r>
        <w:rPr>
          <w:rFonts w:hint="eastAsia" w:ascii="黑体" w:hAnsi="黑体" w:eastAsia="黑体"/>
          <w:b w:val="0"/>
          <w:bCs w:val="0"/>
          <w:color w:val="000000"/>
          <w:sz w:val="32"/>
          <w:lang w:eastAsia="zh-CN"/>
        </w:rPr>
        <w:t>三</w:t>
      </w:r>
      <w:r>
        <w:rPr>
          <w:rFonts w:hint="eastAsia" w:ascii="黑体" w:hAnsi="黑体" w:eastAsia="黑体"/>
          <w:b w:val="0"/>
          <w:bCs w:val="0"/>
          <w:color w:val="000000"/>
          <w:sz w:val="32"/>
        </w:rPr>
        <w:t xml:space="preserve">章 </w:t>
      </w:r>
      <w:r>
        <w:rPr>
          <w:rFonts w:hint="eastAsia" w:ascii="黑体" w:hAnsi="黑体" w:eastAsia="黑体"/>
          <w:b w:val="0"/>
          <w:bCs w:val="0"/>
          <w:color w:val="000000"/>
          <w:sz w:val="32"/>
          <w:lang w:eastAsia="zh-CN"/>
        </w:rPr>
        <w:t>商务领域</w:t>
      </w:r>
      <w:r>
        <w:rPr>
          <w:rFonts w:hint="eastAsia" w:ascii="黑体" w:hAnsi="黑体" w:eastAsia="黑体"/>
          <w:b w:val="0"/>
          <w:bCs w:val="0"/>
          <w:color w:val="000000"/>
          <w:sz w:val="32"/>
        </w:rPr>
        <w:t>标准的实施与监督</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rPr>
          <w:rFonts w:hint="eastAsia" w:ascii="仿宋_GB2312" w:eastAsia="仿宋_GB2312"/>
          <w:b w:val="0"/>
          <w:bCs w:val="0"/>
          <w:color w:val="000000"/>
          <w:sz w:val="32"/>
          <w:lang w:val="en-US" w:eastAsia="zh-CN"/>
        </w:rPr>
      </w:pPr>
      <w:r>
        <w:rPr>
          <w:rFonts w:hint="eastAsia" w:ascii="仿宋_GB2312" w:eastAsia="仿宋_GB2312"/>
          <w:b w:val="0"/>
          <w:bCs w:val="0"/>
          <w:color w:val="000000"/>
          <w:sz w:val="32"/>
          <w:lang w:eastAsia="zh-CN"/>
        </w:rPr>
        <w:t>第</w:t>
      </w:r>
      <w:r>
        <w:rPr>
          <w:rFonts w:hint="eastAsia" w:ascii="仿宋_GB2312" w:hAnsi="仿宋_GB2312" w:eastAsia="仿宋_GB2312" w:cs="仿宋_GB2312"/>
          <w:b w:val="0"/>
          <w:bCs w:val="0"/>
          <w:color w:val="000000"/>
          <w:sz w:val="32"/>
          <w:szCs w:val="32"/>
          <w:lang w:eastAsia="zh-CN"/>
        </w:rPr>
        <w:t>三十二</w:t>
      </w:r>
      <w:r>
        <w:rPr>
          <w:rFonts w:hint="eastAsia" w:ascii="仿宋_GB2312" w:eastAsia="仿宋_GB2312"/>
          <w:b w:val="0"/>
          <w:bCs w:val="0"/>
          <w:color w:val="000000"/>
          <w:sz w:val="32"/>
          <w:lang w:eastAsia="zh-CN"/>
        </w:rPr>
        <w:t>条</w:t>
      </w:r>
      <w:r>
        <w:rPr>
          <w:rFonts w:hint="eastAsia" w:ascii="仿宋_GB2312" w:eastAsia="仿宋_GB2312"/>
          <w:b w:val="0"/>
          <w:bCs w:val="0"/>
          <w:color w:val="000000"/>
          <w:sz w:val="32"/>
          <w:lang w:val="en-US" w:eastAsia="zh-CN"/>
        </w:rPr>
        <w:t xml:space="preserve"> </w:t>
      </w:r>
      <w:r>
        <w:rPr>
          <w:rFonts w:hint="eastAsia" w:ascii="仿宋_GB2312" w:hAnsi="仿宋_GB2312" w:eastAsia="仿宋_GB2312" w:cs="仿宋_GB2312"/>
          <w:b w:val="0"/>
          <w:bCs w:val="0"/>
          <w:color w:val="000000"/>
          <w:sz w:val="32"/>
          <w:szCs w:val="32"/>
          <w:lang w:val="en-US" w:eastAsia="zh-CN"/>
        </w:rPr>
        <w:t>根据国家有关规定，</w:t>
      </w:r>
      <w:r>
        <w:rPr>
          <w:rFonts w:hint="eastAsia" w:ascii="仿宋_GB2312" w:eastAsia="仿宋_GB2312"/>
          <w:b w:val="0"/>
          <w:bCs w:val="0"/>
          <w:color w:val="000000"/>
          <w:sz w:val="32"/>
          <w:lang w:val="en-US" w:eastAsia="zh-CN"/>
        </w:rPr>
        <w:t>国家标准发布部门负责商务领域国家标准解释的管理工作。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afterAutospacing="0" w:line="240" w:lineRule="auto"/>
        <w:ind w:left="0" w:firstLine="640" w:firstLineChars="200"/>
        <w:jc w:val="both"/>
        <w:rPr>
          <w:rFonts w:hint="eastAsia" w:ascii="仿宋_GB2312" w:hAnsi="仿宋_GB2312" w:eastAsia="仿宋_GB2312" w:cs="仿宋_GB2312"/>
          <w:b w:val="0"/>
          <w:bCs w:val="0"/>
          <w:i w:val="0"/>
          <w:caps w:val="0"/>
          <w:color w:val="000000"/>
          <w:spacing w:val="0"/>
          <w:sz w:val="32"/>
          <w:szCs w:val="32"/>
          <w:lang w:bidi="ar"/>
        </w:rPr>
      </w:pPr>
      <w:r>
        <w:rPr>
          <w:rFonts w:hint="eastAsia" w:ascii="仿宋_GB2312" w:eastAsia="仿宋_GB2312"/>
          <w:b w:val="0"/>
          <w:bCs w:val="0"/>
          <w:color w:val="000000"/>
          <w:sz w:val="32"/>
          <w:lang w:val="en-US" w:eastAsia="zh-CN"/>
        </w:rPr>
        <w:t>商务部负责商务领域行业标准解释的管理工作。</w:t>
      </w:r>
      <w:r>
        <w:rPr>
          <w:rFonts w:hint="eastAsia" w:ascii="仿宋_GB2312" w:hAnsi="仿宋_GB2312" w:eastAsia="仿宋_GB2312" w:cs="仿宋_GB2312"/>
          <w:b w:val="0"/>
          <w:bCs w:val="0"/>
          <w:i w:val="0"/>
          <w:caps w:val="0"/>
          <w:color w:val="000000"/>
          <w:spacing w:val="0"/>
          <w:kern w:val="2"/>
          <w:sz w:val="32"/>
          <w:szCs w:val="32"/>
          <w:shd w:val="clear" w:color="auto" w:fill="auto"/>
          <w:lang w:val="en-US" w:eastAsia="zh-CN" w:bidi="ar"/>
        </w:rPr>
        <w:t>技术委员会或起草单位可对涉及商务领域行业标准具体技术内容出具解释意见。标准解释应向商务部申请，商务部在法律规定的期限内对符合规定的标准解释申请予以受理，但下列情况除外：</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afterAutospacing="0" w:line="240" w:lineRule="auto"/>
        <w:ind w:left="0"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（一）不属于标准规定的内容；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afterAutospacing="0" w:line="240" w:lineRule="auto"/>
        <w:ind w:left="0"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（二）对有关对象是否符合行业标准的判断；</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afterAutospacing="0" w:line="240" w:lineRule="auto"/>
        <w:ind w:left="0"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（三）尚未发布的标准。</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lang w:val="en-US" w:eastAsia="zh-CN"/>
        </w:rPr>
        <w:t>第</w:t>
      </w:r>
      <w:r>
        <w:rPr>
          <w:rFonts w:hint="eastAsia" w:ascii="仿宋_GB2312" w:hAnsi="仿宋_GB2312" w:eastAsia="仿宋_GB2312" w:cs="仿宋_GB2312"/>
          <w:b w:val="0"/>
          <w:bCs w:val="0"/>
          <w:color w:val="000000"/>
          <w:sz w:val="32"/>
          <w:lang w:val="en-US" w:eastAsia="zh-CN"/>
        </w:rPr>
        <w:t>三十三</w:t>
      </w:r>
      <w:r>
        <w:rPr>
          <w:rFonts w:hint="eastAsia" w:ascii="仿宋_GB2312" w:eastAsia="仿宋_GB2312"/>
          <w:b w:val="0"/>
          <w:bCs w:val="0"/>
          <w:color w:val="000000"/>
          <w:sz w:val="32"/>
          <w:lang w:val="en-US" w:eastAsia="zh-CN"/>
        </w:rPr>
        <w:t>条 商务领域国家标准、行业标准发布后，</w:t>
      </w:r>
      <w:r>
        <w:rPr>
          <w:rFonts w:hint="eastAsia" w:ascii="仿宋_GB2312" w:hAnsi="仿宋_GB2312" w:eastAsia="仿宋_GB2312" w:cs="仿宋_GB2312"/>
          <w:b w:val="0"/>
          <w:bCs w:val="0"/>
          <w:color w:val="000000"/>
          <w:sz w:val="32"/>
          <w:lang w:val="en-US" w:eastAsia="zh-CN"/>
        </w:rPr>
        <w:t>商务部组织</w:t>
      </w:r>
      <w:r>
        <w:rPr>
          <w:rFonts w:hint="eastAsia" w:ascii="仿宋_GB2312" w:eastAsia="仿宋_GB2312"/>
          <w:b w:val="0"/>
          <w:bCs w:val="0"/>
          <w:color w:val="000000"/>
          <w:sz w:val="32"/>
          <w:lang w:eastAsia="zh-CN"/>
        </w:rPr>
        <w:t>有关技术委员会和社会团体</w:t>
      </w:r>
      <w:r>
        <w:rPr>
          <w:rFonts w:hint="eastAsia" w:ascii="仿宋_GB2312" w:hAnsi="仿宋_GB2312" w:eastAsia="仿宋_GB2312" w:cs="仿宋_GB2312"/>
          <w:b w:val="0"/>
          <w:bCs w:val="0"/>
          <w:color w:val="000000"/>
          <w:sz w:val="32"/>
          <w:lang w:eastAsia="zh-CN"/>
        </w:rPr>
        <w:t>开展</w:t>
      </w:r>
      <w:r>
        <w:rPr>
          <w:rFonts w:hint="eastAsia" w:ascii="仿宋_GB2312" w:eastAsia="仿宋_GB2312"/>
          <w:b w:val="0"/>
          <w:bCs w:val="0"/>
          <w:color w:val="000000"/>
          <w:sz w:val="32"/>
          <w:lang w:eastAsia="zh-CN"/>
        </w:rPr>
        <w:t>标准宣贯和推广工作</w:t>
      </w:r>
      <w:r>
        <w:rPr>
          <w:rFonts w:hint="eastAsia" w:ascii="仿宋_GB2312" w:hAnsi="仿宋_GB2312" w:eastAsia="仿宋_GB2312" w:cs="仿宋_GB2312"/>
          <w:b w:val="0"/>
          <w:bCs w:val="0"/>
          <w:color w:val="000000"/>
          <w:sz w:val="32"/>
          <w:szCs w:val="22"/>
        </w:rPr>
        <w:t>，</w:t>
      </w:r>
      <w:r>
        <w:rPr>
          <w:rFonts w:hint="eastAsia" w:ascii="仿宋_GB2312" w:eastAsia="仿宋_GB2312"/>
          <w:b w:val="0"/>
          <w:bCs w:val="0"/>
          <w:color w:val="000000"/>
          <w:sz w:val="32"/>
          <w:lang w:eastAsia="zh-CN"/>
        </w:rPr>
        <w:t>做好标准解读。</w:t>
      </w:r>
      <w:r>
        <w:rPr>
          <w:rFonts w:hint="eastAsia" w:ascii="仿宋_GB2312" w:eastAsia="仿宋_GB2312"/>
          <w:b w:val="0"/>
          <w:bCs w:val="0"/>
          <w:color w:val="000000"/>
          <w:sz w:val="32"/>
        </w:rPr>
        <w:t>各级商务主管部门</w:t>
      </w:r>
      <w:r>
        <w:rPr>
          <w:rFonts w:hint="eastAsia" w:ascii="仿宋_GB2312" w:hAnsi="仿宋_GB2312" w:eastAsia="仿宋_GB2312" w:cs="仿宋_GB2312"/>
          <w:b w:val="0"/>
          <w:bCs w:val="0"/>
          <w:color w:val="000000"/>
          <w:sz w:val="32"/>
          <w:lang w:eastAsia="zh-CN"/>
        </w:rPr>
        <w:t>应</w:t>
      </w:r>
      <w:r>
        <w:rPr>
          <w:rFonts w:hint="eastAsia" w:ascii="仿宋_GB2312" w:eastAsia="仿宋_GB2312"/>
          <w:b w:val="0"/>
          <w:bCs w:val="0"/>
          <w:color w:val="000000"/>
          <w:sz w:val="32"/>
          <w:lang w:val="en-US" w:eastAsia="zh-CN"/>
        </w:rPr>
        <w:t>通过开展试点示范等方式</w:t>
      </w:r>
      <w:r>
        <w:rPr>
          <w:rFonts w:hint="eastAsia" w:ascii="仿宋_GB2312" w:eastAsia="仿宋_GB2312"/>
          <w:b w:val="0"/>
          <w:bCs w:val="0"/>
          <w:color w:val="000000"/>
          <w:sz w:val="32"/>
          <w:lang w:eastAsia="zh-CN"/>
        </w:rPr>
        <w:t>，</w:t>
      </w:r>
      <w:r>
        <w:rPr>
          <w:rFonts w:hint="eastAsia" w:ascii="仿宋_GB2312" w:eastAsia="仿宋_GB2312"/>
          <w:b w:val="0"/>
          <w:bCs w:val="0"/>
          <w:color w:val="000000"/>
          <w:sz w:val="32"/>
          <w:lang w:val="en-US" w:eastAsia="zh-CN"/>
        </w:rPr>
        <w:t>加强标准实施与应用</w:t>
      </w:r>
      <w:r>
        <w:rPr>
          <w:rFonts w:hint="eastAsia" w:ascii="仿宋_GB2312" w:hAnsi="仿宋_GB2312" w:eastAsia="仿宋_GB2312" w:cs="仿宋_GB2312"/>
          <w:b w:val="0"/>
          <w:bCs w:val="0"/>
          <w:color w:val="000000"/>
          <w:sz w:val="32"/>
          <w:szCs w:val="2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baseline"/>
        <w:rPr>
          <w:rFonts w:hint="eastAsia" w:ascii="仿宋_GB2312" w:hAnsi="仿宋_GB2312" w:eastAsia="仿宋_GB2312" w:cs="仿宋_GB2312"/>
          <w:b w:val="0"/>
          <w:bCs w:val="0"/>
          <w:color w:val="000000"/>
          <w:kern w:val="0"/>
          <w:sz w:val="32"/>
          <w:szCs w:val="32"/>
        </w:rPr>
      </w:pPr>
      <w:r>
        <w:rPr>
          <w:rFonts w:hint="eastAsia" w:ascii="仿宋_GB2312" w:eastAsia="仿宋_GB2312"/>
          <w:b w:val="0"/>
          <w:bCs w:val="0"/>
          <w:color w:val="000000"/>
          <w:sz w:val="32"/>
          <w:lang w:eastAsia="zh-CN"/>
        </w:rPr>
        <w:t>第</w:t>
      </w:r>
      <w:r>
        <w:rPr>
          <w:rFonts w:hint="eastAsia" w:ascii="仿宋_GB2312" w:hAnsi="仿宋_GB2312" w:eastAsia="仿宋_GB2312" w:cs="仿宋_GB2312"/>
          <w:b w:val="0"/>
          <w:bCs w:val="0"/>
          <w:color w:val="000000"/>
          <w:sz w:val="32"/>
          <w:lang w:eastAsia="zh-CN"/>
        </w:rPr>
        <w:t>三十四</w:t>
      </w:r>
      <w:r>
        <w:rPr>
          <w:rFonts w:hint="eastAsia" w:ascii="仿宋_GB2312" w:eastAsia="仿宋_GB2312"/>
          <w:b w:val="0"/>
          <w:bCs w:val="0"/>
          <w:color w:val="000000"/>
          <w:sz w:val="32"/>
          <w:lang w:eastAsia="zh-CN"/>
        </w:rPr>
        <w:t>条</w:t>
      </w:r>
      <w:r>
        <w:rPr>
          <w:rFonts w:hint="eastAsia" w:ascii="仿宋_GB2312" w:eastAsia="仿宋_GB2312"/>
          <w:b w:val="0"/>
          <w:bCs w:val="0"/>
          <w:color w:val="000000"/>
          <w:sz w:val="32"/>
          <w:lang w:val="en-US" w:eastAsia="zh-CN"/>
        </w:rPr>
        <w:t xml:space="preserve"> </w:t>
      </w:r>
      <w:r>
        <w:rPr>
          <w:rFonts w:hint="eastAsia" w:ascii="仿宋_GB2312" w:eastAsia="仿宋_GB2312"/>
          <w:b w:val="0"/>
          <w:bCs w:val="0"/>
          <w:color w:val="000000"/>
          <w:sz w:val="32"/>
        </w:rPr>
        <w:t>商务部</w:t>
      </w:r>
      <w:r>
        <w:rPr>
          <w:rFonts w:hint="eastAsia" w:ascii="仿宋_GB2312" w:eastAsia="仿宋_GB2312"/>
          <w:b w:val="0"/>
          <w:bCs w:val="0"/>
          <w:color w:val="000000"/>
          <w:sz w:val="32"/>
          <w:lang w:eastAsia="zh-CN"/>
        </w:rPr>
        <w:t>依据法定职责</w:t>
      </w:r>
      <w:r>
        <w:rPr>
          <w:rFonts w:hint="eastAsia" w:ascii="仿宋_GB2312" w:eastAsia="仿宋_GB2312"/>
          <w:b w:val="0"/>
          <w:bCs w:val="0"/>
          <w:color w:val="000000"/>
          <w:sz w:val="32"/>
        </w:rPr>
        <w:t>建立标准实施信息反馈和评估机制</w:t>
      </w:r>
      <w:r>
        <w:rPr>
          <w:rFonts w:hint="eastAsia" w:ascii="仿宋_GB2312" w:eastAsia="仿宋_GB2312"/>
          <w:b w:val="0"/>
          <w:bCs w:val="0"/>
          <w:color w:val="000000"/>
          <w:sz w:val="32"/>
          <w:lang w:eastAsia="zh-CN"/>
        </w:rPr>
        <w:t>。个人和单位可通过商务领域</w:t>
      </w:r>
      <w:r>
        <w:rPr>
          <w:rFonts w:hint="eastAsia" w:ascii="仿宋_GB2312" w:hAnsi="仿宋_GB2312" w:eastAsia="仿宋_GB2312" w:cs="仿宋_GB2312"/>
          <w:b w:val="0"/>
          <w:bCs w:val="0"/>
          <w:color w:val="000000"/>
          <w:sz w:val="32"/>
          <w:lang w:eastAsia="zh-CN"/>
        </w:rPr>
        <w:t>行业</w:t>
      </w:r>
      <w:r>
        <w:rPr>
          <w:rFonts w:hint="eastAsia" w:ascii="仿宋_GB2312" w:eastAsia="仿宋_GB2312"/>
          <w:b w:val="0"/>
          <w:bCs w:val="0"/>
          <w:color w:val="000000"/>
          <w:sz w:val="32"/>
          <w:lang w:eastAsia="zh-CN"/>
        </w:rPr>
        <w:t>标准制修订信息管理系统反馈行业标准在实施中产生的问题和修改建议。技术委员会</w:t>
      </w:r>
      <w:r>
        <w:rPr>
          <w:rFonts w:hint="eastAsia" w:ascii="仿宋_GB2312" w:hAnsi="仿宋_GB2312" w:eastAsia="仿宋_GB2312" w:cs="仿宋_GB2312"/>
          <w:b w:val="0"/>
          <w:bCs w:val="0"/>
          <w:color w:val="000000"/>
          <w:sz w:val="32"/>
          <w:lang w:eastAsia="zh-CN"/>
        </w:rPr>
        <w:t>或起草单位</w:t>
      </w:r>
      <w:r>
        <w:rPr>
          <w:rFonts w:hint="eastAsia" w:ascii="仿宋_GB2312" w:eastAsia="仿宋_GB2312"/>
          <w:b w:val="0"/>
          <w:bCs w:val="0"/>
          <w:color w:val="000000"/>
          <w:sz w:val="32"/>
          <w:lang w:eastAsia="zh-CN"/>
        </w:rPr>
        <w:t>应采取多种形式收集标准实施信息，对存在协调性、一致性及其他技术问题的标准，应及时开展评估、研究，</w:t>
      </w:r>
      <w:r>
        <w:rPr>
          <w:rFonts w:hint="eastAsia" w:ascii="仿宋_GB2312" w:hAnsi="仿宋_GB2312" w:eastAsia="仿宋_GB2312" w:cs="仿宋_GB2312"/>
          <w:b w:val="0"/>
          <w:bCs w:val="0"/>
          <w:color w:val="000000"/>
          <w:sz w:val="32"/>
          <w:lang w:eastAsia="zh-CN"/>
        </w:rPr>
        <w:t>并</w:t>
      </w:r>
      <w:r>
        <w:rPr>
          <w:rFonts w:hint="eastAsia" w:ascii="仿宋_GB2312" w:hAnsi="仿宋_GB2312" w:eastAsia="仿宋_GB2312"/>
          <w:b w:val="0"/>
          <w:bCs w:val="0"/>
          <w:color w:val="000000"/>
          <w:sz w:val="32"/>
          <w:szCs w:val="32"/>
        </w:rPr>
        <w:t>根据标准实施效果，以及经济社会和科学技术发展的需要，对标准</w:t>
      </w:r>
      <w:r>
        <w:rPr>
          <w:rFonts w:hint="eastAsia" w:ascii="仿宋_GB2312" w:hAnsi="仿宋_GB2312" w:eastAsia="仿宋_GB2312"/>
          <w:b w:val="0"/>
          <w:bCs w:val="0"/>
          <w:color w:val="000000"/>
          <w:sz w:val="32"/>
          <w:szCs w:val="32"/>
          <w:lang w:eastAsia="zh-CN"/>
        </w:rPr>
        <w:t>进行</w:t>
      </w:r>
      <w:r>
        <w:rPr>
          <w:rFonts w:hint="eastAsia" w:ascii="仿宋_GB2312" w:hAnsi="仿宋_GB2312" w:eastAsia="仿宋_GB2312" w:cs="仿宋_GB2312"/>
          <w:b w:val="0"/>
          <w:bCs w:val="0"/>
          <w:color w:val="000000"/>
          <w:kern w:val="0"/>
          <w:sz w:val="32"/>
          <w:szCs w:val="32"/>
        </w:rPr>
        <w:t>复审</w:t>
      </w:r>
      <w:r>
        <w:rPr>
          <w:rFonts w:hint="eastAsia" w:ascii="仿宋_GB2312" w:hAnsi="仿宋_GB2312" w:eastAsia="仿宋_GB2312"/>
          <w:b w:val="0"/>
          <w:bCs w:val="0"/>
          <w:color w:val="000000"/>
          <w:sz w:val="32"/>
          <w:lang w:eastAsia="zh-CN"/>
        </w:rPr>
        <w:t>，</w:t>
      </w:r>
      <w:r>
        <w:rPr>
          <w:rFonts w:hint="eastAsia" w:ascii="仿宋_GB2312" w:hAnsi="仿宋_GB2312" w:eastAsia="仿宋_GB2312"/>
          <w:b w:val="0"/>
          <w:bCs w:val="0"/>
          <w:color w:val="000000"/>
          <w:sz w:val="32"/>
        </w:rPr>
        <w:t>提出现行标准继续有效、修订或废止的复审结论，报商务部。复审周期一般不超过五年。</w:t>
      </w:r>
    </w:p>
    <w:p>
      <w:pPr>
        <w:keepNext w:val="0"/>
        <w:keepLines w:val="0"/>
        <w:pageBreakBefore w:val="0"/>
        <w:kinsoku/>
        <w:wordWrap/>
        <w:overflowPunct/>
        <w:topLinePunct w:val="0"/>
        <w:autoSpaceDE/>
        <w:autoSpaceDN/>
        <w:bidi w:val="0"/>
        <w:adjustRightInd/>
        <w:snapToGrid/>
        <w:ind w:firstLine="640" w:firstLineChars="200"/>
        <w:rPr>
          <w:rFonts w:hint="eastAsia" w:ascii="仿宋_GB2312" w:hAnsi="仿宋_GB2312" w:eastAsia="仿宋_GB2312"/>
          <w:b w:val="0"/>
          <w:bCs w:val="0"/>
          <w:color w:val="000000"/>
          <w:sz w:val="32"/>
        </w:rPr>
      </w:pPr>
      <w:r>
        <w:rPr>
          <w:rFonts w:hint="eastAsia" w:ascii="仿宋_GB2312" w:hAnsi="仿宋_GB2312" w:eastAsia="仿宋_GB2312"/>
          <w:b w:val="0"/>
          <w:bCs w:val="0"/>
          <w:color w:val="000000"/>
          <w:sz w:val="32"/>
          <w:lang w:eastAsia="zh-CN"/>
        </w:rPr>
        <w:t>复审内容包括：标准内容与现行法律、法规、规章等的协调性，标准的实施应用范围，标准实施产生的经济效益和社会效益，标准实施过程中存在的问题和建议。</w:t>
      </w:r>
    </w:p>
    <w:p>
      <w:pPr>
        <w:keepNext w:val="0"/>
        <w:keepLines w:val="0"/>
        <w:pageBreakBefore w:val="0"/>
        <w:kinsoku/>
        <w:wordWrap/>
        <w:overflowPunct/>
        <w:topLinePunct w:val="0"/>
        <w:autoSpaceDE/>
        <w:autoSpaceDN/>
        <w:bidi w:val="0"/>
        <w:adjustRightInd/>
        <w:snapToGrid/>
        <w:ind w:firstLine="640" w:firstLineChars="200"/>
        <w:rPr>
          <w:rFonts w:hint="eastAsia" w:ascii="仿宋_GB2312" w:hAnsi="仿宋_GB2312" w:eastAsia="仿宋_GB2312"/>
          <w:b w:val="0"/>
          <w:bCs w:val="0"/>
          <w:color w:val="000000"/>
          <w:sz w:val="32"/>
        </w:rPr>
      </w:pPr>
      <w:r>
        <w:rPr>
          <w:rFonts w:hint="eastAsia" w:ascii="仿宋_GB2312" w:hAnsi="仿宋_GB2312" w:eastAsia="仿宋_GB2312"/>
          <w:b w:val="0"/>
          <w:bCs w:val="0"/>
          <w:color w:val="000000"/>
          <w:sz w:val="32"/>
        </w:rPr>
        <w:t>第</w:t>
      </w:r>
      <w:r>
        <w:rPr>
          <w:rFonts w:hint="eastAsia" w:ascii="仿宋_GB2312" w:hAnsi="仿宋_GB2312" w:eastAsia="仿宋_GB2312" w:cs="仿宋_GB2312"/>
          <w:b w:val="0"/>
          <w:bCs w:val="0"/>
          <w:color w:val="000000"/>
          <w:sz w:val="32"/>
          <w:lang w:eastAsia="zh-CN"/>
        </w:rPr>
        <w:t>三十五</w:t>
      </w:r>
      <w:r>
        <w:rPr>
          <w:rFonts w:hint="eastAsia" w:ascii="仿宋_GB2312" w:hAnsi="仿宋_GB2312" w:eastAsia="仿宋_GB2312"/>
          <w:b w:val="0"/>
          <w:bCs w:val="0"/>
          <w:color w:val="000000"/>
          <w:sz w:val="32"/>
        </w:rPr>
        <w:t xml:space="preserve">条 </w:t>
      </w:r>
      <w:r>
        <w:rPr>
          <w:rFonts w:hint="eastAsia" w:ascii="仿宋_GB2312" w:hAnsi="仿宋_GB2312" w:eastAsia="仿宋_GB2312" w:cs="仿宋_GB2312"/>
          <w:b w:val="0"/>
          <w:bCs w:val="0"/>
          <w:color w:val="000000"/>
          <w:sz w:val="32"/>
          <w:lang w:eastAsia="zh-CN"/>
        </w:rPr>
        <w:t>标准</w:t>
      </w:r>
      <w:r>
        <w:rPr>
          <w:rFonts w:hint="eastAsia" w:ascii="仿宋_GB2312" w:hAnsi="仿宋_GB2312" w:eastAsia="仿宋_GB2312"/>
          <w:b w:val="0"/>
          <w:bCs w:val="0"/>
          <w:color w:val="000000"/>
          <w:sz w:val="32"/>
        </w:rPr>
        <w:t>经复审需要修订的，按照</w:t>
      </w:r>
      <w:r>
        <w:rPr>
          <w:rFonts w:hint="eastAsia" w:ascii="仿宋_GB2312" w:hAnsi="仿宋_GB2312" w:eastAsia="仿宋_GB2312" w:cs="仿宋_GB2312"/>
          <w:b w:val="0"/>
          <w:bCs w:val="0"/>
          <w:color w:val="000000"/>
          <w:sz w:val="32"/>
          <w:lang w:eastAsia="zh-CN"/>
        </w:rPr>
        <w:t>本办法</w:t>
      </w:r>
      <w:r>
        <w:rPr>
          <w:rFonts w:hint="eastAsia" w:ascii="仿宋_GB2312" w:hAnsi="仿宋_GB2312" w:eastAsia="仿宋_GB2312"/>
          <w:b w:val="0"/>
          <w:bCs w:val="0"/>
          <w:color w:val="000000"/>
          <w:sz w:val="32"/>
        </w:rPr>
        <w:t>第</w:t>
      </w:r>
      <w:r>
        <w:rPr>
          <w:rFonts w:hint="eastAsia" w:ascii="仿宋_GB2312" w:hAnsi="仿宋_GB2312" w:eastAsia="仿宋_GB2312" w:cs="仿宋_GB2312"/>
          <w:b w:val="0"/>
          <w:bCs w:val="0"/>
          <w:color w:val="000000"/>
          <w:sz w:val="32"/>
          <w:lang w:eastAsia="zh-CN"/>
        </w:rPr>
        <w:t>二</w:t>
      </w:r>
      <w:r>
        <w:rPr>
          <w:rFonts w:hint="eastAsia" w:ascii="仿宋_GB2312" w:hAnsi="仿宋_GB2312" w:eastAsia="仿宋_GB2312"/>
          <w:b w:val="0"/>
          <w:bCs w:val="0"/>
          <w:color w:val="000000"/>
          <w:sz w:val="32"/>
        </w:rPr>
        <w:t>章有关程序进行。</w:t>
      </w:r>
    </w:p>
    <w:p>
      <w:pPr>
        <w:keepNext w:val="0"/>
        <w:keepLines w:val="0"/>
        <w:pageBreakBefore w:val="0"/>
        <w:kinsoku/>
        <w:wordWrap/>
        <w:overflowPunct/>
        <w:topLinePunct w:val="0"/>
        <w:autoSpaceDE/>
        <w:autoSpaceDN/>
        <w:bidi w:val="0"/>
        <w:adjustRightInd/>
        <w:snapToGrid/>
        <w:ind w:firstLine="640" w:firstLineChars="200"/>
        <w:rPr>
          <w:rFonts w:hint="eastAsia" w:ascii="仿宋_GB2312" w:hAnsi="仿宋_GB2312" w:eastAsia="仿宋_GB2312"/>
          <w:b w:val="0"/>
          <w:bCs w:val="0"/>
          <w:color w:val="000000"/>
          <w:sz w:val="32"/>
        </w:rPr>
      </w:pPr>
      <w:r>
        <w:rPr>
          <w:rFonts w:hint="eastAsia" w:ascii="仿宋_GB2312" w:hAnsi="仿宋_GB2312" w:eastAsia="仿宋_GB2312" w:cs="仿宋_GB2312"/>
          <w:b w:val="0"/>
          <w:bCs w:val="0"/>
          <w:color w:val="000000"/>
          <w:sz w:val="32"/>
          <w:lang w:eastAsia="zh-CN"/>
        </w:rPr>
        <w:t>行业标准</w:t>
      </w:r>
      <w:r>
        <w:rPr>
          <w:rFonts w:hint="eastAsia" w:ascii="仿宋_GB2312" w:hAnsi="仿宋_GB2312" w:eastAsia="仿宋_GB2312"/>
          <w:b w:val="0"/>
          <w:bCs w:val="0"/>
          <w:color w:val="000000"/>
          <w:sz w:val="32"/>
        </w:rPr>
        <w:t>需要废止的，由商务部发布公告予以废止。</w:t>
      </w: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b w:val="0"/>
          <w:bCs w:val="0"/>
          <w:color w:val="000000"/>
          <w:sz w:val="32"/>
        </w:rPr>
      </w:pPr>
      <w:r>
        <w:rPr>
          <w:rFonts w:hint="eastAsia" w:ascii="仿宋_GB2312" w:hAnsi="仿宋_GB2312" w:eastAsia="仿宋_GB2312"/>
          <w:b w:val="0"/>
          <w:bCs w:val="0"/>
          <w:color w:val="000000"/>
          <w:sz w:val="32"/>
          <w:lang w:val="en-US" w:eastAsia="zh-CN"/>
        </w:rPr>
        <w:t xml:space="preserve">    </w:t>
      </w:r>
      <w:r>
        <w:rPr>
          <w:rFonts w:hint="eastAsia" w:ascii="仿宋_GB2312" w:hAnsi="仿宋_GB2312" w:eastAsia="仿宋_GB2312"/>
          <w:b w:val="0"/>
          <w:bCs w:val="0"/>
          <w:color w:val="000000"/>
          <w:sz w:val="32"/>
        </w:rPr>
        <w:t>第</w:t>
      </w:r>
      <w:r>
        <w:rPr>
          <w:rFonts w:hint="eastAsia" w:ascii="仿宋_GB2312" w:hAnsi="仿宋_GB2312" w:eastAsia="仿宋_GB2312" w:cs="仿宋_GB2312"/>
          <w:b w:val="0"/>
          <w:bCs w:val="0"/>
          <w:color w:val="000000"/>
          <w:sz w:val="32"/>
          <w:lang w:eastAsia="zh-CN"/>
        </w:rPr>
        <w:t>三十六</w:t>
      </w:r>
      <w:r>
        <w:rPr>
          <w:rFonts w:hint="eastAsia" w:ascii="仿宋_GB2312" w:hAnsi="仿宋_GB2312" w:eastAsia="仿宋_GB2312"/>
          <w:b w:val="0"/>
          <w:bCs w:val="0"/>
          <w:color w:val="000000"/>
          <w:sz w:val="32"/>
        </w:rPr>
        <w:t xml:space="preserve">条 </w:t>
      </w:r>
      <w:r>
        <w:rPr>
          <w:rFonts w:hint="eastAsia" w:ascii="仿宋_GB2312" w:hAnsi="仿宋_GB2312" w:eastAsia="仿宋_GB2312" w:cs="仿宋_GB2312"/>
          <w:b w:val="0"/>
          <w:bCs w:val="0"/>
          <w:color w:val="000000"/>
          <w:sz w:val="32"/>
          <w:lang w:eastAsia="zh-CN"/>
        </w:rPr>
        <w:t>行业</w:t>
      </w:r>
      <w:r>
        <w:rPr>
          <w:rFonts w:hint="eastAsia" w:ascii="仿宋_GB2312" w:hAnsi="仿宋_GB2312" w:eastAsia="仿宋_GB2312"/>
          <w:b w:val="0"/>
          <w:bCs w:val="0"/>
          <w:color w:val="000000"/>
          <w:sz w:val="32"/>
        </w:rPr>
        <w:t>标准</w:t>
      </w:r>
      <w:r>
        <w:rPr>
          <w:rFonts w:hint="eastAsia" w:ascii="仿宋_GB2312" w:hAnsi="仿宋_GB2312" w:eastAsia="仿宋_GB2312"/>
          <w:b w:val="0"/>
          <w:bCs w:val="0"/>
          <w:color w:val="000000"/>
          <w:sz w:val="32"/>
          <w:lang w:val="en-US" w:eastAsia="zh-CN"/>
        </w:rPr>
        <w:t>发布后</w:t>
      </w:r>
      <w:r>
        <w:rPr>
          <w:rFonts w:hint="eastAsia" w:ascii="仿宋_GB2312" w:hAnsi="仿宋_GB2312" w:eastAsia="仿宋_GB2312"/>
          <w:b w:val="0"/>
          <w:bCs w:val="0"/>
          <w:color w:val="000000"/>
          <w:sz w:val="32"/>
        </w:rPr>
        <w:t>，个别技术</w:t>
      </w:r>
      <w:r>
        <w:rPr>
          <w:rFonts w:hint="eastAsia" w:ascii="仿宋_GB2312" w:hAnsi="仿宋_GB2312" w:eastAsia="仿宋_GB2312"/>
          <w:b w:val="0"/>
          <w:bCs w:val="0"/>
          <w:color w:val="000000"/>
          <w:sz w:val="32"/>
          <w:lang w:eastAsia="zh-CN"/>
        </w:rPr>
        <w:t>要求需要调整、补充或者删减的，可通过修改单进行修改。修改单</w:t>
      </w:r>
      <w:r>
        <w:rPr>
          <w:rFonts w:hint="eastAsia" w:ascii="仿宋_GB2312" w:hAnsi="仿宋_GB2312" w:eastAsia="仿宋_GB2312" w:cs="仿宋_GB2312"/>
          <w:b w:val="0"/>
          <w:bCs w:val="0"/>
          <w:color w:val="000000"/>
          <w:sz w:val="32"/>
          <w:lang w:eastAsia="zh-CN"/>
        </w:rPr>
        <w:t>经</w:t>
      </w:r>
      <w:r>
        <w:rPr>
          <w:rFonts w:hint="eastAsia" w:ascii="仿宋_GB2312" w:hAnsi="仿宋_GB2312" w:eastAsia="仿宋_GB2312"/>
          <w:b w:val="0"/>
          <w:bCs w:val="0"/>
          <w:color w:val="000000"/>
          <w:sz w:val="32"/>
        </w:rPr>
        <w:t>商务部批准后以公告形式发布。</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lang w:eastAsia="zh-CN"/>
        </w:rPr>
      </w:pPr>
      <w:r>
        <w:rPr>
          <w:rFonts w:hint="eastAsia" w:ascii="仿宋_GB2312" w:eastAsia="仿宋_GB2312"/>
          <w:b w:val="0"/>
          <w:bCs w:val="0"/>
          <w:color w:val="000000"/>
          <w:sz w:val="32"/>
        </w:rPr>
        <w:t>第</w:t>
      </w:r>
      <w:r>
        <w:rPr>
          <w:rFonts w:hint="eastAsia" w:ascii="仿宋_GB2312" w:hAnsi="仿宋_GB2312" w:eastAsia="仿宋_GB2312" w:cs="仿宋_GB2312"/>
          <w:b w:val="0"/>
          <w:bCs w:val="0"/>
          <w:color w:val="000000"/>
          <w:sz w:val="32"/>
          <w:lang w:eastAsia="zh-CN"/>
        </w:rPr>
        <w:t>三十七</w:t>
      </w:r>
      <w:r>
        <w:rPr>
          <w:rFonts w:hint="eastAsia" w:ascii="仿宋_GB2312" w:eastAsia="仿宋_GB2312"/>
          <w:b w:val="0"/>
          <w:bCs w:val="0"/>
          <w:color w:val="000000"/>
          <w:sz w:val="32"/>
        </w:rPr>
        <w:t xml:space="preserve">条 </w:t>
      </w:r>
      <w:r>
        <w:rPr>
          <w:rFonts w:hint="eastAsia" w:ascii="仿宋_GB2312" w:eastAsia="仿宋_GB2312"/>
          <w:b w:val="0"/>
          <w:bCs w:val="0"/>
          <w:color w:val="000000"/>
          <w:sz w:val="32"/>
          <w:lang w:eastAsia="zh-CN"/>
        </w:rPr>
        <w:t>任何单位或个人均有权向商务主管部门举报、投诉不符合本办法规定的行为。</w:t>
      </w:r>
    </w:p>
    <w:p>
      <w:pPr>
        <w:keepNext w:val="0"/>
        <w:keepLines w:val="0"/>
        <w:pageBreakBefore w:val="0"/>
        <w:kinsoku/>
        <w:wordWrap/>
        <w:overflowPunct/>
        <w:topLinePunct w:val="0"/>
        <w:autoSpaceDE/>
        <w:autoSpaceDN/>
        <w:bidi w:val="0"/>
        <w:adjustRightInd/>
        <w:snapToGrid/>
        <w:ind w:firstLine="640" w:firstLineChars="200"/>
        <w:rPr>
          <w:rFonts w:hint="eastAsia" w:ascii="仿宋_GB2312" w:eastAsia="仿宋_GB2312"/>
          <w:b w:val="0"/>
          <w:bCs w:val="0"/>
          <w:color w:val="000000"/>
          <w:sz w:val="32"/>
        </w:rPr>
      </w:pPr>
      <w:r>
        <w:rPr>
          <w:rFonts w:hint="eastAsia" w:ascii="仿宋_GB2312" w:eastAsia="仿宋_GB2312"/>
          <w:b w:val="0"/>
          <w:bCs w:val="0"/>
          <w:color w:val="000000"/>
          <w:sz w:val="32"/>
          <w:lang w:eastAsia="zh-CN"/>
        </w:rPr>
        <w:t>技术委员会或</w:t>
      </w:r>
      <w:r>
        <w:rPr>
          <w:rFonts w:hint="eastAsia" w:ascii="仿宋_GB2312" w:eastAsia="仿宋_GB2312"/>
          <w:b w:val="0"/>
          <w:bCs w:val="0"/>
          <w:color w:val="000000"/>
          <w:sz w:val="32"/>
        </w:rPr>
        <w:t>起草单位</w:t>
      </w:r>
      <w:r>
        <w:rPr>
          <w:rFonts w:hint="eastAsia" w:ascii="仿宋_GB2312" w:eastAsia="仿宋_GB2312"/>
          <w:b w:val="0"/>
          <w:bCs w:val="0"/>
          <w:color w:val="000000"/>
          <w:sz w:val="32"/>
          <w:lang w:eastAsia="zh-CN"/>
        </w:rPr>
        <w:t>违反本办法规定时限或程序的，</w:t>
      </w:r>
      <w:r>
        <w:rPr>
          <w:rFonts w:hint="eastAsia" w:ascii="仿宋_GB2312" w:eastAsia="仿宋_GB2312"/>
          <w:b w:val="0"/>
          <w:bCs w:val="0"/>
          <w:color w:val="000000"/>
          <w:sz w:val="32"/>
        </w:rPr>
        <w:t>商务部责令其限期改正；逾期不改正的，5年内不得承担商务领域标准化任务。</w:t>
      </w:r>
    </w:p>
    <w:p>
      <w:pPr>
        <w:bidi w:val="0"/>
        <w:jc w:val="center"/>
        <w:rPr>
          <w:rFonts w:hint="eastAsia" w:ascii="黑体" w:hAnsi="黑体" w:eastAsia="黑体"/>
          <w:b w:val="0"/>
          <w:bCs w:val="0"/>
          <w:color w:val="000000"/>
          <w:sz w:val="32"/>
        </w:rPr>
      </w:pPr>
      <w:r>
        <w:rPr>
          <w:rFonts w:hint="eastAsia" w:ascii="黑体" w:hAnsi="黑体" w:eastAsia="黑体"/>
          <w:b w:val="0"/>
          <w:bCs w:val="0"/>
          <w:color w:val="000000"/>
          <w:sz w:val="32"/>
        </w:rPr>
        <w:t>第</w:t>
      </w:r>
      <w:r>
        <w:rPr>
          <w:rFonts w:hint="eastAsia" w:ascii="黑体" w:hAnsi="黑体" w:eastAsia="黑体"/>
          <w:b w:val="0"/>
          <w:bCs w:val="0"/>
          <w:color w:val="000000"/>
          <w:sz w:val="32"/>
          <w:lang w:eastAsia="zh-CN"/>
        </w:rPr>
        <w:t>四</w:t>
      </w:r>
      <w:r>
        <w:rPr>
          <w:rFonts w:hint="eastAsia" w:ascii="黑体" w:hAnsi="黑体" w:eastAsia="黑体"/>
          <w:b w:val="0"/>
          <w:bCs w:val="0"/>
          <w:color w:val="000000"/>
          <w:sz w:val="32"/>
        </w:rPr>
        <w:t>章 附则</w:t>
      </w:r>
    </w:p>
    <w:p>
      <w:pPr>
        <w:keepNext w:val="0"/>
        <w:keepLines w:val="0"/>
        <w:pageBreakBefore w:val="0"/>
        <w:kinsoku/>
        <w:wordWrap/>
        <w:overflowPunct/>
        <w:topLinePunct w:val="0"/>
        <w:autoSpaceDE/>
        <w:autoSpaceDN/>
        <w:bidi w:val="0"/>
        <w:adjustRightInd/>
        <w:snapToGrid/>
        <w:ind w:firstLine="640" w:firstLineChars="200"/>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000000"/>
          <w:sz w:val="32"/>
          <w:lang w:eastAsia="zh-CN"/>
        </w:rPr>
        <w:t>第三十八条 本办法由商务部负责解释。</w:t>
      </w:r>
    </w:p>
    <w:p>
      <w:pPr>
        <w:keepNext w:val="0"/>
        <w:keepLines w:val="0"/>
        <w:pageBreakBefore w:val="0"/>
        <w:kinsoku/>
        <w:wordWrap/>
        <w:overflowPunct/>
        <w:topLinePunct w:val="0"/>
        <w:autoSpaceDE/>
        <w:autoSpaceDN/>
        <w:bidi w:val="0"/>
        <w:adjustRightInd/>
        <w:snapToGrid/>
        <w:ind w:firstLine="640" w:firstLineChars="200"/>
        <w:rPr>
          <w:rFonts w:hint="eastAsia" w:ascii="仿宋_GB2312" w:hAnsi="仿宋_GB2312" w:eastAsia="仿宋_GB2312" w:cs="仿宋_GB2312"/>
          <w:b w:val="0"/>
          <w:bCs w:val="0"/>
          <w:color w:val="000000"/>
          <w:sz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000000"/>
          <w:sz w:val="32"/>
          <w:lang w:eastAsia="zh-CN"/>
        </w:rPr>
        <w:t>第三十九条 本办法自20  年 月 日起施行。</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36"/>
          <w:szCs w:val="36"/>
        </w:rPr>
      </w:pPr>
      <w:bookmarkStart w:id="71" w:name="_Toc1606151621"/>
      <w:r>
        <w:rPr>
          <w:rFonts w:hint="eastAsia" w:ascii="方正小标宋简体" w:hAnsi="方正小标宋简体" w:eastAsia="方正小标宋简体" w:cs="方正小标宋简体"/>
          <w:b w:val="0"/>
          <w:bCs w:val="0"/>
          <w:sz w:val="36"/>
          <w:szCs w:val="36"/>
        </w:rPr>
        <w:t>商务部关于加强“十四五”时期商务领域</w:t>
      </w:r>
      <w:bookmarkEnd w:id="71"/>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36"/>
          <w:szCs w:val="36"/>
        </w:rPr>
      </w:pPr>
      <w:bookmarkStart w:id="72" w:name="_Toc1009144978"/>
      <w:bookmarkStart w:id="73" w:name="_Toc1905944516"/>
      <w:bookmarkStart w:id="74" w:name="_Toc1336423092"/>
      <w:bookmarkStart w:id="75" w:name="_Toc421601449"/>
      <w:r>
        <w:rPr>
          <w:rFonts w:hint="eastAsia" w:ascii="方正小标宋简体" w:hAnsi="方正小标宋简体" w:eastAsia="方正小标宋简体" w:cs="方正小标宋简体"/>
          <w:b w:val="0"/>
          <w:bCs w:val="0"/>
          <w:sz w:val="36"/>
          <w:szCs w:val="36"/>
        </w:rPr>
        <w:t>标准化建设的指导意见</w:t>
      </w:r>
      <w:bookmarkEnd w:id="72"/>
      <w:bookmarkEnd w:id="73"/>
      <w:bookmarkEnd w:id="74"/>
      <w:bookmarkEnd w:id="75"/>
    </w:p>
    <w:p>
      <w:pPr>
        <w:tabs>
          <w:tab w:val="left" w:pos="1134"/>
        </w:tabs>
        <w:adjustRightInd w:val="0"/>
        <w:rPr>
          <w:rFonts w:hint="eastAsia" w:ascii="Nimbus Roman No9 L" w:hAnsi="Nimbus Roman No9 L" w:eastAsia="仿宋" w:cs="Nimbus Roman No9 L"/>
          <w:sz w:val="32"/>
          <w:szCs w:val="32"/>
        </w:rPr>
      </w:pPr>
    </w:p>
    <w:p>
      <w:pPr>
        <w:ind w:firstLine="640" w:firstLineChars="200"/>
        <w:rPr>
          <w:rFonts w:ascii="仿宋" w:hAnsi="仿宋" w:eastAsia="仿宋"/>
          <w:color w:val="000000"/>
          <w:sz w:val="32"/>
        </w:rPr>
      </w:pPr>
      <w:r>
        <w:rPr>
          <w:rFonts w:ascii="仿宋" w:hAnsi="仿宋" w:eastAsia="仿宋"/>
          <w:color w:val="000000"/>
          <w:sz w:val="32"/>
        </w:rPr>
        <w:t>标准化是商务工作的重要基础，是引领行业发展、规范市场秩序、推动流通变革、促进消费升级的技术支撑，对畅通国内大循环、促进国内国际双循环，引领商务高质量发展、高水平开放具有重要意义。为进一步加强“十四五”商务领域标准化工作，现提出以下意见。</w:t>
      </w:r>
    </w:p>
    <w:p>
      <w:pPr>
        <w:adjustRightInd w:val="0"/>
        <w:ind w:left="640"/>
        <w:outlineLvl w:val="0"/>
        <w:rPr>
          <w:rFonts w:ascii="黑体" w:hAnsi="黑体" w:eastAsia="黑体" w:cs="Nimbus Roman No9 L"/>
          <w:bCs/>
          <w:kern w:val="44"/>
          <w:sz w:val="32"/>
          <w:szCs w:val="44"/>
        </w:rPr>
      </w:pPr>
      <w:bookmarkStart w:id="76" w:name="_Toc62630472"/>
      <w:bookmarkStart w:id="77" w:name="_Toc63685712"/>
      <w:bookmarkStart w:id="78" w:name="_Toc87536644"/>
      <w:bookmarkStart w:id="79" w:name="_Toc83815818"/>
      <w:bookmarkStart w:id="80" w:name="_Toc1667172346"/>
      <w:bookmarkStart w:id="81" w:name="_Toc87536392"/>
      <w:bookmarkStart w:id="82" w:name="_Toc1617643918"/>
      <w:bookmarkStart w:id="83" w:name="_Toc1040826000"/>
      <w:bookmarkStart w:id="84" w:name="_Toc2028079550"/>
      <w:r>
        <w:rPr>
          <w:rFonts w:hint="eastAsia" w:ascii="黑体" w:hAnsi="黑体" w:eastAsia="黑体" w:cs="Nimbus Roman No9 L"/>
          <w:bCs/>
          <w:kern w:val="44"/>
          <w:sz w:val="32"/>
          <w:szCs w:val="44"/>
        </w:rPr>
        <w:t>一</w:t>
      </w:r>
      <w:r>
        <w:rPr>
          <w:rFonts w:ascii="黑体" w:hAnsi="黑体" w:eastAsia="黑体" w:cs="Nimbus Roman No9 L"/>
          <w:bCs/>
          <w:kern w:val="44"/>
          <w:sz w:val="32"/>
          <w:szCs w:val="44"/>
        </w:rPr>
        <w:t>、</w:t>
      </w:r>
      <w:bookmarkEnd w:id="76"/>
      <w:bookmarkEnd w:id="77"/>
      <w:r>
        <w:rPr>
          <w:rFonts w:ascii="黑体" w:hAnsi="黑体" w:eastAsia="黑体" w:cs="Nimbus Roman No9 L"/>
          <w:bCs/>
          <w:kern w:val="44"/>
          <w:sz w:val="32"/>
          <w:szCs w:val="44"/>
        </w:rPr>
        <w:t>总体要求</w:t>
      </w:r>
      <w:bookmarkEnd w:id="78"/>
      <w:bookmarkEnd w:id="79"/>
      <w:bookmarkEnd w:id="80"/>
      <w:bookmarkEnd w:id="81"/>
      <w:bookmarkEnd w:id="82"/>
      <w:bookmarkEnd w:id="83"/>
      <w:bookmarkEnd w:id="84"/>
    </w:p>
    <w:p>
      <w:pPr>
        <w:adjustRightInd w:val="0"/>
        <w:ind w:firstLine="627" w:firstLineChars="196"/>
        <w:outlineLvl w:val="1"/>
        <w:rPr>
          <w:rFonts w:ascii="仿宋" w:hAnsi="仿宋" w:eastAsia="仿宋"/>
          <w:color w:val="000000"/>
          <w:sz w:val="32"/>
        </w:rPr>
      </w:pPr>
      <w:bookmarkStart w:id="85" w:name="_Toc87536645"/>
      <w:bookmarkStart w:id="86" w:name="_Toc87536393"/>
      <w:bookmarkStart w:id="87" w:name="_Toc83815819"/>
      <w:bookmarkStart w:id="88" w:name="_Toc62630473"/>
      <w:bookmarkStart w:id="89" w:name="_Toc63685713"/>
      <w:r>
        <w:rPr>
          <w:rFonts w:ascii="楷体" w:hAnsi="楷体" w:eastAsia="楷体" w:cs="Nimbus Roman No9 L"/>
          <w:bCs/>
          <w:sz w:val="32"/>
          <w:szCs w:val="32"/>
        </w:rPr>
        <w:t>（一）指导思想。</w:t>
      </w:r>
      <w:bookmarkEnd w:id="85"/>
      <w:bookmarkEnd w:id="86"/>
      <w:bookmarkEnd w:id="87"/>
      <w:bookmarkEnd w:id="88"/>
      <w:bookmarkEnd w:id="89"/>
      <w:r>
        <w:rPr>
          <w:rFonts w:ascii="仿宋" w:hAnsi="仿宋" w:eastAsia="仿宋"/>
          <w:color w:val="000000"/>
          <w:sz w:val="32"/>
        </w:rPr>
        <w:t>以习近平新时代中国特色社会主义思想为指导，全面贯彻党的十九大和十九届二中、三中、四中、五中全会精神，紧紧围绕统筹推进“五位一体”总体布局和协调推进“四个全面”战略布局，立足新发展阶段，贯彻新发展理念，按照党中央、国务院关于实施标准化战略的决策部署，统筹内外贸标准，充分发挥标准在商务工作中的基础性、战略性和引领性作用，提升标准化治理效能，优化标准供给结构，</w:t>
      </w:r>
      <w:r>
        <w:rPr>
          <w:rFonts w:hint="eastAsia" w:ascii="仿宋" w:hAnsi="仿宋" w:eastAsia="仿宋"/>
          <w:color w:val="000000"/>
          <w:sz w:val="32"/>
        </w:rPr>
        <w:t>提升标准化对外开放水平</w:t>
      </w:r>
      <w:r>
        <w:rPr>
          <w:rFonts w:ascii="仿宋" w:hAnsi="仿宋" w:eastAsia="仿宋"/>
          <w:color w:val="000000"/>
          <w:sz w:val="32"/>
        </w:rPr>
        <w:t>，加快建立推动商务高质量发展的标准体系，为构建以国内大循环为主体，国内国际双循环相互促进的新发展格局提供有力支撑。</w:t>
      </w:r>
    </w:p>
    <w:p>
      <w:pPr>
        <w:ind w:firstLine="640" w:firstLineChars="200"/>
        <w:rPr>
          <w:rFonts w:ascii="楷体" w:hAnsi="楷体" w:eastAsia="楷体" w:cs="Nimbus Roman No9 L"/>
          <w:bCs/>
          <w:sz w:val="32"/>
          <w:szCs w:val="32"/>
        </w:rPr>
      </w:pPr>
      <w:r>
        <w:rPr>
          <w:rFonts w:ascii="楷体" w:hAnsi="楷体" w:eastAsia="楷体" w:cs="Nimbus Roman No9 L"/>
          <w:bCs/>
          <w:sz w:val="32"/>
          <w:szCs w:val="32"/>
        </w:rPr>
        <w:t>（二）基本原则。</w:t>
      </w:r>
    </w:p>
    <w:p>
      <w:pPr>
        <w:ind w:firstLine="640" w:firstLineChars="200"/>
        <w:rPr>
          <w:rFonts w:ascii="仿宋" w:hAnsi="仿宋" w:eastAsia="仿宋"/>
          <w:color w:val="000000"/>
          <w:sz w:val="32"/>
        </w:rPr>
      </w:pPr>
      <w:r>
        <w:rPr>
          <w:rFonts w:hint="eastAsia" w:ascii="仿宋" w:hAnsi="仿宋" w:eastAsia="仿宋"/>
          <w:color w:val="000000"/>
          <w:sz w:val="32"/>
        </w:rPr>
        <w:t>——完善工作机制，强化治理水平。</w:t>
      </w:r>
      <w:r>
        <w:rPr>
          <w:rFonts w:ascii="仿宋" w:hAnsi="仿宋" w:eastAsia="仿宋"/>
          <w:color w:val="000000"/>
          <w:sz w:val="32"/>
        </w:rPr>
        <w:t>健全标准化管理机制，明确商务领域行业标准管理范围，充分发挥商务领域标准化技术委员会、行业协会和专业机构在标准制修订、标准审查、宣贯培训等方面的支撑作用。</w:t>
      </w:r>
    </w:p>
    <w:p>
      <w:pPr>
        <w:ind w:firstLine="640" w:firstLineChars="200"/>
        <w:rPr>
          <w:rFonts w:ascii="仿宋" w:hAnsi="仿宋" w:eastAsia="仿宋"/>
          <w:color w:val="000000"/>
          <w:sz w:val="32"/>
        </w:rPr>
      </w:pPr>
      <w:r>
        <w:rPr>
          <w:rFonts w:hint="eastAsia" w:ascii="仿宋" w:hAnsi="仿宋" w:eastAsia="仿宋"/>
          <w:color w:val="000000"/>
          <w:sz w:val="32"/>
        </w:rPr>
        <w:t>——</w:t>
      </w:r>
      <w:r>
        <w:rPr>
          <w:rFonts w:ascii="仿宋" w:hAnsi="仿宋" w:eastAsia="仿宋"/>
          <w:color w:val="000000"/>
          <w:sz w:val="32"/>
        </w:rPr>
        <w:t>优化供给质量，促进深度发展。明确重点领域和行业标准制修订指导目录和方向，围绕高标准市场体系建设、培育壮大流通主体、提升消费能级、促进内外贸一体化和建设高水平开放平台等方面，形成以基础通用类、管理类和服务类为主体的政府与市场共同发挥作用的标准供给方式。</w:t>
      </w:r>
    </w:p>
    <w:p>
      <w:pPr>
        <w:ind w:firstLine="640" w:firstLineChars="200"/>
        <w:rPr>
          <w:rFonts w:ascii="仿宋" w:hAnsi="仿宋" w:eastAsia="仿宋"/>
          <w:color w:val="000000"/>
          <w:sz w:val="32"/>
        </w:rPr>
      </w:pPr>
      <w:r>
        <w:rPr>
          <w:rFonts w:hint="eastAsia" w:ascii="仿宋" w:hAnsi="仿宋" w:eastAsia="仿宋"/>
          <w:color w:val="000000"/>
          <w:sz w:val="32"/>
        </w:rPr>
        <w:t>——</w:t>
      </w:r>
      <w:r>
        <w:rPr>
          <w:rFonts w:ascii="仿宋" w:hAnsi="仿宋" w:eastAsia="仿宋"/>
          <w:color w:val="000000"/>
          <w:sz w:val="32"/>
        </w:rPr>
        <w:t>完善实施机制，增强实施效能。强化标准实施应用，实现从“有好标准”到“用好标准”的转变。应用标准开展宏观调控、产业推进、市场准入和质量监管，强化企业在标准实施中的主体作用，发挥地方商务主管部门的</w:t>
      </w:r>
      <w:r>
        <w:rPr>
          <w:rFonts w:hint="eastAsia" w:ascii="仿宋" w:hAnsi="仿宋" w:eastAsia="仿宋"/>
          <w:color w:val="000000"/>
          <w:sz w:val="32"/>
        </w:rPr>
        <w:t>基础</w:t>
      </w:r>
      <w:r>
        <w:rPr>
          <w:rFonts w:ascii="仿宋" w:hAnsi="仿宋" w:eastAsia="仿宋"/>
          <w:color w:val="000000"/>
          <w:sz w:val="32"/>
        </w:rPr>
        <w:t>作用，开展标准化试点示范</w:t>
      </w:r>
      <w:r>
        <w:rPr>
          <w:rFonts w:hint="eastAsia" w:ascii="仿宋" w:hAnsi="仿宋" w:eastAsia="仿宋"/>
          <w:color w:val="000000"/>
          <w:sz w:val="32"/>
        </w:rPr>
        <w:t>建设</w:t>
      </w:r>
      <w:r>
        <w:rPr>
          <w:rFonts w:ascii="仿宋" w:hAnsi="仿宋" w:eastAsia="仿宋"/>
          <w:color w:val="000000"/>
          <w:sz w:val="32"/>
        </w:rPr>
        <w:t>。</w:t>
      </w:r>
    </w:p>
    <w:p>
      <w:pPr>
        <w:ind w:firstLine="640" w:firstLineChars="200"/>
        <w:rPr>
          <w:rFonts w:ascii="仿宋" w:hAnsi="仿宋" w:eastAsia="仿宋"/>
          <w:color w:val="000000"/>
          <w:sz w:val="32"/>
        </w:rPr>
      </w:pPr>
      <w:r>
        <w:rPr>
          <w:rFonts w:hint="eastAsia" w:ascii="仿宋" w:hAnsi="仿宋" w:eastAsia="仿宋"/>
          <w:color w:val="000000"/>
          <w:sz w:val="32"/>
        </w:rPr>
        <w:t>——</w:t>
      </w:r>
      <w:r>
        <w:rPr>
          <w:rFonts w:ascii="仿宋" w:hAnsi="仿宋" w:eastAsia="仿宋"/>
          <w:color w:val="000000"/>
          <w:sz w:val="32"/>
        </w:rPr>
        <w:t>开展对外合作，促进内外联通。鼓励市场主体积极参与国际标准化活动。加强同世贸组织有关方面在技术性贸易壁垒方面的交涉和协调，推动</w:t>
      </w:r>
      <w:r>
        <w:rPr>
          <w:rFonts w:hint="eastAsia" w:ascii="仿宋" w:hAnsi="仿宋" w:eastAsia="仿宋"/>
          <w:color w:val="000000"/>
          <w:sz w:val="32"/>
        </w:rPr>
        <w:t>国内标准</w:t>
      </w:r>
      <w:r>
        <w:rPr>
          <w:rFonts w:ascii="仿宋" w:hAnsi="仿宋" w:eastAsia="仿宋"/>
          <w:color w:val="000000"/>
          <w:sz w:val="32"/>
        </w:rPr>
        <w:t>与国外标准之间相互转换和应用，开展标准互认，推动中国标准与国际标准体系兼容。</w:t>
      </w:r>
    </w:p>
    <w:p>
      <w:pPr>
        <w:ind w:firstLine="640" w:firstLineChars="200"/>
        <w:rPr>
          <w:rFonts w:ascii="仿宋" w:hAnsi="仿宋" w:eastAsia="仿宋"/>
          <w:color w:val="000000"/>
          <w:sz w:val="32"/>
        </w:rPr>
      </w:pPr>
      <w:bookmarkStart w:id="90" w:name="_Toc63685714"/>
      <w:bookmarkStart w:id="91" w:name="_Toc62630474"/>
      <w:r>
        <w:rPr>
          <w:rFonts w:ascii="楷体" w:hAnsi="楷体" w:eastAsia="楷体" w:cs="Nimbus Roman No9 L"/>
          <w:bCs/>
          <w:sz w:val="32"/>
          <w:szCs w:val="32"/>
        </w:rPr>
        <w:t>（三）总体目标</w:t>
      </w:r>
      <w:bookmarkEnd w:id="90"/>
      <w:bookmarkEnd w:id="91"/>
      <w:r>
        <w:rPr>
          <w:rFonts w:ascii="楷体" w:hAnsi="楷体" w:eastAsia="楷体" w:cs="Nimbus Roman No9 L"/>
          <w:bCs/>
          <w:sz w:val="32"/>
          <w:szCs w:val="32"/>
        </w:rPr>
        <w:t>。</w:t>
      </w:r>
      <w:r>
        <w:rPr>
          <w:rFonts w:ascii="仿宋" w:hAnsi="仿宋" w:eastAsia="仿宋"/>
          <w:color w:val="000000"/>
          <w:sz w:val="32"/>
        </w:rPr>
        <w:t>到2025年，引领商务创新发展的标准供给更加充分，初步形成科学适用、结构合理、衔接配套、国际接轨的新型</w:t>
      </w:r>
      <w:r>
        <w:rPr>
          <w:rFonts w:hint="eastAsia" w:ascii="仿宋" w:hAnsi="仿宋" w:eastAsia="仿宋"/>
          <w:color w:val="000000"/>
          <w:sz w:val="32"/>
        </w:rPr>
        <w:t>商务</w:t>
      </w:r>
      <w:r>
        <w:rPr>
          <w:rFonts w:ascii="仿宋" w:hAnsi="仿宋" w:eastAsia="仿宋"/>
          <w:color w:val="000000"/>
          <w:sz w:val="32"/>
        </w:rPr>
        <w:t>标准体系。标准化管理机制更加完善，标准化应用水平明显提升，标准化工作基本实现由政府主导向政府与市场协同发展转变，由数量规模型向质量效益型转变，由国内驱动向国内国际相互促进转变。标准化带动商贸流通提质增效、促进内外贸一体化发展作用更加显著，成为畅通资源要素循环、提高流通效能、引领消费升级、促进高水平对外开放的有效载体，更好引领商务工作高质量发展。</w:t>
      </w:r>
      <w:bookmarkStart w:id="92" w:name="_Toc63685722"/>
      <w:bookmarkStart w:id="93" w:name="_Toc62630481"/>
    </w:p>
    <w:p>
      <w:pPr>
        <w:tabs>
          <w:tab w:val="left" w:pos="1134"/>
        </w:tabs>
        <w:adjustRightInd w:val="0"/>
        <w:ind w:firstLine="640" w:firstLineChars="200"/>
        <w:rPr>
          <w:rFonts w:ascii="黑体" w:hAnsi="黑体" w:eastAsia="黑体" w:cs="Nimbus Roman No9 L"/>
          <w:bCs/>
          <w:kern w:val="44"/>
          <w:sz w:val="32"/>
          <w:szCs w:val="44"/>
        </w:rPr>
      </w:pPr>
      <w:r>
        <w:rPr>
          <w:rFonts w:hint="eastAsia" w:ascii="黑体" w:hAnsi="黑体" w:eastAsia="黑体" w:cs="Nimbus Roman No9 L"/>
          <w:bCs/>
          <w:kern w:val="44"/>
          <w:sz w:val="32"/>
          <w:szCs w:val="44"/>
        </w:rPr>
        <w:t>二</w:t>
      </w:r>
      <w:r>
        <w:rPr>
          <w:rFonts w:ascii="黑体" w:hAnsi="黑体" w:eastAsia="黑体" w:cs="Nimbus Roman No9 L"/>
          <w:bCs/>
          <w:kern w:val="44"/>
          <w:sz w:val="32"/>
          <w:szCs w:val="44"/>
        </w:rPr>
        <w:t>、</w:t>
      </w:r>
      <w:bookmarkEnd w:id="92"/>
      <w:bookmarkEnd w:id="93"/>
      <w:r>
        <w:rPr>
          <w:rFonts w:ascii="黑体" w:hAnsi="黑体" w:eastAsia="黑体" w:cs="Nimbus Roman No9 L"/>
          <w:bCs/>
          <w:kern w:val="44"/>
          <w:sz w:val="32"/>
          <w:szCs w:val="44"/>
        </w:rPr>
        <w:t>主要任务</w:t>
      </w:r>
      <w:bookmarkStart w:id="94" w:name="_Toc62630483"/>
      <w:bookmarkStart w:id="95" w:name="_Toc63685723"/>
    </w:p>
    <w:p>
      <w:pPr>
        <w:ind w:firstLine="640" w:firstLineChars="200"/>
        <w:rPr>
          <w:rFonts w:ascii="仿宋" w:hAnsi="仿宋" w:eastAsia="仿宋"/>
          <w:color w:val="000000"/>
          <w:sz w:val="32"/>
        </w:rPr>
      </w:pPr>
      <w:bookmarkStart w:id="96" w:name="_Toc63685717"/>
      <w:bookmarkStart w:id="97" w:name="_Toc62630477"/>
      <w:bookmarkStart w:id="98" w:name="_Toc63685718"/>
      <w:bookmarkStart w:id="99" w:name="_Toc63685719"/>
      <w:bookmarkStart w:id="100" w:name="_Toc62630478"/>
      <w:bookmarkStart w:id="101" w:name="_Toc63685720"/>
      <w:bookmarkStart w:id="102" w:name="_Toc63685721"/>
      <w:bookmarkStart w:id="103" w:name="_Toc62630480"/>
      <w:r>
        <w:rPr>
          <w:rFonts w:ascii="楷体" w:hAnsi="楷体" w:eastAsia="楷体" w:cs="Nimbus Roman No9 L"/>
          <w:bCs/>
          <w:sz w:val="32"/>
          <w:szCs w:val="32"/>
        </w:rPr>
        <w:t>（一）提升标准化管理水平。</w:t>
      </w:r>
      <w:r>
        <w:rPr>
          <w:rFonts w:ascii="仿宋" w:hAnsi="仿宋" w:eastAsia="仿宋"/>
          <w:color w:val="000000"/>
          <w:sz w:val="32"/>
        </w:rPr>
        <w:t>健全标准化管理机制，根据《中华人民共和国标准化法》及国家标准化改革有关文件精神，修订《商务领域标准化管理办法</w:t>
      </w:r>
      <w:r>
        <w:rPr>
          <w:rFonts w:hint="eastAsia" w:ascii="仿宋" w:hAnsi="仿宋" w:eastAsia="仿宋"/>
          <w:color w:val="000000"/>
          <w:sz w:val="32"/>
        </w:rPr>
        <w:t>（试行）</w:t>
      </w:r>
      <w:r>
        <w:rPr>
          <w:rFonts w:ascii="仿宋" w:hAnsi="仿宋" w:eastAsia="仿宋"/>
          <w:color w:val="000000"/>
          <w:sz w:val="32"/>
        </w:rPr>
        <w:t>》。开展标准化基础研究和国内国际标准比对分析，为持续深入推进标准化建设提供参考和指南。突出标准先导作用</w:t>
      </w:r>
      <w:r>
        <w:rPr>
          <w:rFonts w:hint="eastAsia" w:ascii="仿宋" w:hAnsi="仿宋" w:eastAsia="仿宋"/>
          <w:color w:val="000000"/>
          <w:sz w:val="32"/>
        </w:rPr>
        <w:t>，</w:t>
      </w:r>
      <w:r>
        <w:rPr>
          <w:rFonts w:ascii="仿宋" w:hAnsi="仿宋" w:eastAsia="仿宋"/>
          <w:color w:val="000000"/>
          <w:sz w:val="32"/>
        </w:rPr>
        <w:t>加强流通新业态、新模式、新技术标准研究储备</w:t>
      </w:r>
      <w:r>
        <w:rPr>
          <w:rFonts w:hint="eastAsia" w:ascii="仿宋" w:hAnsi="仿宋" w:eastAsia="仿宋"/>
          <w:color w:val="000000"/>
          <w:sz w:val="32"/>
        </w:rPr>
        <w:t>。</w:t>
      </w:r>
      <w:r>
        <w:rPr>
          <w:rFonts w:ascii="仿宋" w:hAnsi="仿宋" w:eastAsia="仿宋"/>
          <w:color w:val="000000"/>
          <w:sz w:val="32"/>
        </w:rPr>
        <w:t>支持各地出台标准化工作支持政策，保障标准化项目经费。强化标准化队伍力量建设，开展标准化相关培训。</w:t>
      </w:r>
      <w:bookmarkStart w:id="104" w:name="_Toc2330"/>
    </w:p>
    <w:p>
      <w:pPr>
        <w:tabs>
          <w:tab w:val="left" w:pos="1134"/>
        </w:tabs>
        <w:adjustRightInd w:val="0"/>
        <w:ind w:firstLine="640" w:firstLineChars="200"/>
        <w:rPr>
          <w:rFonts w:ascii="仿宋" w:hAnsi="仿宋" w:eastAsia="仿宋"/>
          <w:color w:val="000000"/>
          <w:sz w:val="32"/>
        </w:rPr>
      </w:pPr>
      <w:r>
        <w:rPr>
          <w:rFonts w:ascii="楷体" w:hAnsi="楷体" w:eastAsia="楷体" w:cs="Nimbus Roman No9 L"/>
          <w:sz w:val="32"/>
          <w:szCs w:val="32"/>
        </w:rPr>
        <w:t>（二）优化标准供给结构。</w:t>
      </w:r>
      <w:bookmarkEnd w:id="104"/>
      <w:r>
        <w:rPr>
          <w:rFonts w:ascii="仿宋" w:hAnsi="仿宋" w:eastAsia="仿宋"/>
          <w:color w:val="000000"/>
          <w:sz w:val="32"/>
        </w:rPr>
        <w:t>优化标准框架体系，明确重点领域和行业标准制修订指导目录和方向</w:t>
      </w:r>
      <w:r>
        <w:rPr>
          <w:rFonts w:hint="eastAsia" w:ascii="仿宋" w:hAnsi="仿宋" w:eastAsia="仿宋"/>
          <w:color w:val="000000"/>
          <w:sz w:val="32"/>
        </w:rPr>
        <w:t>，加强公益类、基础类标准研制。充分调动各社会组织、企业制定标准的积极性，更好激发市场主体参与标准化工作的活力，</w:t>
      </w:r>
      <w:r>
        <w:rPr>
          <w:rFonts w:ascii="仿宋" w:hAnsi="仿宋" w:eastAsia="仿宋"/>
          <w:color w:val="000000"/>
          <w:sz w:val="32"/>
        </w:rPr>
        <w:t>推动建立政府和市场共同发挥作用的标准供给方式。开展老旧标准、已下达的标准计划项目复审和评估，减少交叉重</w:t>
      </w:r>
      <w:r>
        <w:rPr>
          <w:rFonts w:hint="eastAsia" w:ascii="仿宋" w:hAnsi="仿宋" w:eastAsia="仿宋"/>
          <w:color w:val="000000"/>
          <w:sz w:val="32"/>
        </w:rPr>
        <w:t>复</w:t>
      </w:r>
      <w:r>
        <w:rPr>
          <w:rFonts w:ascii="仿宋" w:hAnsi="仿宋" w:eastAsia="仿宋"/>
          <w:color w:val="000000"/>
          <w:sz w:val="32"/>
        </w:rPr>
        <w:t>。主动研判商务领域新发展趋势，加快绿色</w:t>
      </w:r>
      <w:r>
        <w:rPr>
          <w:rFonts w:hint="eastAsia" w:ascii="仿宋" w:hAnsi="仿宋" w:eastAsia="仿宋"/>
          <w:color w:val="000000"/>
          <w:sz w:val="32"/>
        </w:rPr>
        <w:t>流通</w:t>
      </w:r>
      <w:r>
        <w:rPr>
          <w:rFonts w:ascii="仿宋" w:hAnsi="仿宋" w:eastAsia="仿宋"/>
          <w:color w:val="000000"/>
          <w:sz w:val="32"/>
        </w:rPr>
        <w:t>、数字商务等新兴领域标准制修订。</w:t>
      </w:r>
    </w:p>
    <w:p>
      <w:pPr>
        <w:ind w:firstLine="640" w:firstLineChars="200"/>
        <w:rPr>
          <w:rFonts w:ascii="仿宋" w:hAnsi="仿宋" w:eastAsia="仿宋"/>
          <w:color w:val="000000"/>
          <w:sz w:val="32"/>
        </w:rPr>
      </w:pPr>
      <w:r>
        <w:rPr>
          <w:rFonts w:ascii="楷体" w:hAnsi="楷体" w:eastAsia="楷体" w:cs="Nimbus Roman No9 L"/>
          <w:sz w:val="32"/>
          <w:szCs w:val="32"/>
        </w:rPr>
        <w:t>（三）加快提高标准供给质量。</w:t>
      </w:r>
      <w:r>
        <w:rPr>
          <w:rFonts w:ascii="仿宋" w:hAnsi="仿宋" w:eastAsia="仿宋"/>
          <w:color w:val="000000"/>
          <w:sz w:val="32"/>
        </w:rPr>
        <w:t>严格标准审查机制，加强标准起草全过程技术审查，完善审查</w:t>
      </w:r>
      <w:r>
        <w:rPr>
          <w:rFonts w:hint="eastAsia" w:ascii="仿宋" w:hAnsi="仿宋" w:eastAsia="仿宋"/>
          <w:color w:val="000000"/>
          <w:sz w:val="32"/>
        </w:rPr>
        <w:t>规则</w:t>
      </w:r>
      <w:r>
        <w:rPr>
          <w:rFonts w:ascii="仿宋" w:hAnsi="仿宋" w:eastAsia="仿宋"/>
          <w:color w:val="000000"/>
          <w:sz w:val="32"/>
        </w:rPr>
        <w:t>，规范审查程序。鼓励各地组织开展标准化培训工作，指导起草单位按照标准规则开展制修订工作，提高标准制修订水平和效率。紧扣经济社会发展需要，制定有科技含量、先进适用的标准，切实提高标准质量和水平。学习借鉴国际标准和国外先进标准先进经验，为制定高水平标准提供更加有力的保障。</w:t>
      </w:r>
    </w:p>
    <w:bookmarkEnd w:id="96"/>
    <w:bookmarkEnd w:id="97"/>
    <w:bookmarkEnd w:id="98"/>
    <w:p>
      <w:pPr>
        <w:ind w:firstLine="640" w:firstLineChars="200"/>
        <w:rPr>
          <w:rFonts w:ascii="仿宋" w:hAnsi="仿宋" w:eastAsia="仿宋"/>
          <w:color w:val="000000"/>
          <w:sz w:val="32"/>
        </w:rPr>
      </w:pPr>
      <w:r>
        <w:rPr>
          <w:rFonts w:ascii="楷体" w:hAnsi="楷体" w:eastAsia="楷体" w:cs="Nimbus Roman No9 L"/>
          <w:sz w:val="32"/>
          <w:szCs w:val="32"/>
        </w:rPr>
        <w:t>（四）强化标准宣贯应用。</w:t>
      </w:r>
      <w:bookmarkEnd w:id="99"/>
      <w:bookmarkEnd w:id="100"/>
      <w:r>
        <w:rPr>
          <w:rFonts w:ascii="仿宋" w:hAnsi="仿宋" w:eastAsia="仿宋"/>
          <w:color w:val="000000"/>
          <w:sz w:val="32"/>
        </w:rPr>
        <w:t>鼓励综合运用文本公开、标准释义、标准解读、信息反馈、评估评价等方式，增强标准宣贯</w:t>
      </w:r>
      <w:r>
        <w:rPr>
          <w:rFonts w:hint="eastAsia" w:ascii="仿宋" w:hAnsi="仿宋" w:eastAsia="仿宋"/>
          <w:color w:val="000000"/>
          <w:sz w:val="32"/>
        </w:rPr>
        <w:t>效能</w:t>
      </w:r>
      <w:r>
        <w:rPr>
          <w:rFonts w:ascii="仿宋" w:hAnsi="仿宋" w:eastAsia="仿宋"/>
          <w:color w:val="000000"/>
          <w:sz w:val="32"/>
        </w:rPr>
        <w:t>。社会关注度高的重点标准利用新闻发布会进行发布。围绕内外贸一体化、商贸流通提质增效开展标准化试点，总结形成可复制推广经验。地方商务主管部门要发挥标准引领作用</w:t>
      </w:r>
      <w:r>
        <w:rPr>
          <w:rFonts w:hint="eastAsia" w:ascii="仿宋" w:hAnsi="仿宋" w:eastAsia="仿宋"/>
          <w:color w:val="000000"/>
          <w:sz w:val="32"/>
        </w:rPr>
        <w:t>，在</w:t>
      </w:r>
      <w:r>
        <w:rPr>
          <w:rFonts w:ascii="仿宋" w:hAnsi="仿宋" w:eastAsia="仿宋"/>
          <w:color w:val="000000"/>
          <w:sz w:val="32"/>
        </w:rPr>
        <w:t>制定政策措施时积极应用标准，探索标准在实施、评估方面的新模式，充分发挥标准化试点示范在标准实施中的重要载体作用。</w:t>
      </w:r>
    </w:p>
    <w:bookmarkEnd w:id="101"/>
    <w:p>
      <w:pPr>
        <w:adjustRightInd w:val="0"/>
        <w:ind w:firstLine="627" w:firstLineChars="196"/>
        <w:outlineLvl w:val="1"/>
        <w:rPr>
          <w:rFonts w:ascii="仿宋" w:hAnsi="仿宋" w:eastAsia="仿宋"/>
          <w:color w:val="000000"/>
          <w:sz w:val="32"/>
        </w:rPr>
      </w:pPr>
      <w:bookmarkStart w:id="105" w:name="_Toc83815820"/>
      <w:bookmarkStart w:id="106" w:name="_Toc87536394"/>
      <w:bookmarkStart w:id="107" w:name="_Toc87536646"/>
      <w:r>
        <w:rPr>
          <w:rFonts w:ascii="楷体" w:hAnsi="楷体" w:eastAsia="楷体" w:cs="Nimbus Roman No9 L"/>
          <w:sz w:val="32"/>
          <w:szCs w:val="32"/>
        </w:rPr>
        <w:t>（五）</w:t>
      </w:r>
      <w:r>
        <w:rPr>
          <w:rFonts w:hint="eastAsia" w:ascii="楷体" w:hAnsi="楷体" w:eastAsia="楷体" w:cs="Nimbus Roman No9 L"/>
          <w:sz w:val="32"/>
          <w:szCs w:val="32"/>
        </w:rPr>
        <w:t>提升标准化对外开放水平</w:t>
      </w:r>
      <w:r>
        <w:rPr>
          <w:rFonts w:ascii="楷体" w:hAnsi="楷体" w:eastAsia="楷体" w:cs="Nimbus Roman No9 L"/>
          <w:sz w:val="32"/>
          <w:szCs w:val="32"/>
        </w:rPr>
        <w:t>。</w:t>
      </w:r>
      <w:bookmarkEnd w:id="102"/>
      <w:bookmarkEnd w:id="103"/>
      <w:bookmarkEnd w:id="105"/>
      <w:bookmarkEnd w:id="106"/>
      <w:bookmarkEnd w:id="107"/>
      <w:bookmarkStart w:id="108" w:name="_Toc87536395"/>
      <w:bookmarkStart w:id="109" w:name="_Toc87536647"/>
      <w:bookmarkStart w:id="110" w:name="_Toc83815821"/>
      <w:r>
        <w:rPr>
          <w:rFonts w:ascii="仿宋" w:hAnsi="仿宋" w:eastAsia="仿宋"/>
          <w:color w:val="000000"/>
          <w:sz w:val="32"/>
        </w:rPr>
        <w:t>鼓励市场主体积极参与国际标准制定，推动先进适用国际标准转化应用。主动应用宣传商务领域标准，探索同主要贸易伙伴开展标准互认，促进政策法规、质量标准、检验认证等相衔接，推动中国标准与国际标准体系兼容。开展标准化对外合作与交流，鼓励行业协会、专业机构等组织参与国际标准化活动，为对外开放特别是“一带一路”建设提供信息服务支撑。加</w:t>
      </w:r>
      <w:r>
        <w:rPr>
          <w:rFonts w:hint="eastAsia" w:ascii="仿宋" w:hAnsi="仿宋" w:eastAsia="仿宋"/>
          <w:color w:val="000000"/>
          <w:sz w:val="32"/>
        </w:rPr>
        <w:t>强</w:t>
      </w:r>
      <w:r>
        <w:rPr>
          <w:rFonts w:ascii="仿宋" w:hAnsi="仿宋" w:eastAsia="仿宋"/>
          <w:color w:val="000000"/>
          <w:sz w:val="32"/>
        </w:rPr>
        <w:t>国际标准化人才储备。</w:t>
      </w:r>
      <w:bookmarkEnd w:id="108"/>
      <w:bookmarkEnd w:id="109"/>
      <w:bookmarkEnd w:id="110"/>
    </w:p>
    <w:bookmarkEnd w:id="94"/>
    <w:bookmarkEnd w:id="95"/>
    <w:p>
      <w:pPr>
        <w:adjustRightInd w:val="0"/>
        <w:ind w:left="640"/>
        <w:outlineLvl w:val="0"/>
        <w:rPr>
          <w:rFonts w:ascii="黑体" w:hAnsi="黑体" w:eastAsia="黑体" w:cs="Nimbus Roman No9 L"/>
          <w:bCs/>
          <w:kern w:val="44"/>
          <w:sz w:val="32"/>
          <w:szCs w:val="44"/>
        </w:rPr>
      </w:pPr>
      <w:bookmarkStart w:id="111" w:name="_Toc1245268689"/>
      <w:bookmarkStart w:id="112" w:name="_Toc83815822"/>
      <w:bookmarkStart w:id="113" w:name="_Toc87536648"/>
      <w:bookmarkStart w:id="114" w:name="_Toc963617747"/>
      <w:bookmarkStart w:id="115" w:name="_Toc1068780793"/>
      <w:bookmarkStart w:id="116" w:name="_Toc19259998"/>
      <w:bookmarkStart w:id="117" w:name="_Toc87536396"/>
      <w:bookmarkStart w:id="118" w:name="_Toc62630488"/>
      <w:bookmarkStart w:id="119" w:name="_Toc63685730"/>
      <w:r>
        <w:rPr>
          <w:rFonts w:hint="eastAsia" w:ascii="黑体" w:hAnsi="黑体" w:eastAsia="黑体" w:cs="Nimbus Roman No9 L"/>
          <w:bCs/>
          <w:kern w:val="44"/>
          <w:sz w:val="32"/>
          <w:szCs w:val="44"/>
        </w:rPr>
        <w:t>三</w:t>
      </w:r>
      <w:r>
        <w:rPr>
          <w:rFonts w:ascii="黑体" w:hAnsi="黑体" w:eastAsia="黑体" w:cs="Nimbus Roman No9 L"/>
          <w:bCs/>
          <w:kern w:val="44"/>
          <w:sz w:val="32"/>
          <w:szCs w:val="44"/>
        </w:rPr>
        <w:t>、重点领域</w:t>
      </w:r>
      <w:bookmarkEnd w:id="111"/>
      <w:bookmarkEnd w:id="112"/>
      <w:bookmarkEnd w:id="113"/>
      <w:bookmarkEnd w:id="114"/>
      <w:bookmarkEnd w:id="115"/>
      <w:bookmarkEnd w:id="116"/>
      <w:bookmarkEnd w:id="117"/>
    </w:p>
    <w:p>
      <w:pPr>
        <w:adjustRightInd w:val="0"/>
        <w:ind w:firstLine="627" w:firstLineChars="196"/>
        <w:outlineLvl w:val="1"/>
        <w:rPr>
          <w:rFonts w:ascii="仿宋" w:hAnsi="仿宋" w:eastAsia="仿宋"/>
          <w:color w:val="000000"/>
          <w:sz w:val="32"/>
        </w:rPr>
      </w:pPr>
      <w:bookmarkStart w:id="120" w:name="_Toc87536649"/>
      <w:bookmarkStart w:id="121" w:name="_Toc87536397"/>
      <w:bookmarkStart w:id="122" w:name="_Toc83815823"/>
      <w:r>
        <w:rPr>
          <w:rFonts w:ascii="楷体" w:hAnsi="楷体" w:eastAsia="楷体" w:cs="Nimbus Roman No9 L"/>
          <w:sz w:val="32"/>
          <w:szCs w:val="32"/>
        </w:rPr>
        <w:t>（一）加强农产品流通标准化，创新流通方式。</w:t>
      </w:r>
      <w:bookmarkEnd w:id="120"/>
      <w:bookmarkEnd w:id="121"/>
      <w:bookmarkEnd w:id="122"/>
      <w:bookmarkStart w:id="123" w:name="_Toc83815824"/>
      <w:bookmarkStart w:id="124" w:name="_Toc87536650"/>
      <w:bookmarkStart w:id="125" w:name="_Toc87536398"/>
      <w:r>
        <w:rPr>
          <w:rFonts w:ascii="仿宋" w:hAnsi="仿宋" w:eastAsia="仿宋"/>
          <w:color w:val="000000"/>
          <w:sz w:val="32"/>
        </w:rPr>
        <w:t>推进农产品市场标准化、规范化建设，制修订市场管理技术标准，规范市场升级改造，推进市场分级分类管理</w:t>
      </w:r>
      <w:r>
        <w:rPr>
          <w:rFonts w:hint="eastAsia" w:ascii="仿宋" w:hAnsi="仿宋" w:eastAsia="仿宋"/>
          <w:color w:val="000000"/>
          <w:sz w:val="32"/>
        </w:rPr>
        <w:t>，推行拍卖、订单农业等现代交易方式</w:t>
      </w:r>
      <w:r>
        <w:rPr>
          <w:rFonts w:ascii="仿宋" w:hAnsi="仿宋" w:eastAsia="仿宋"/>
          <w:color w:val="000000"/>
          <w:sz w:val="32"/>
        </w:rPr>
        <w:t>。研究探索内外贸流通一体化的农产品市场标准，推广企业典型做法，加快相关技术指南向标准的转化，为农产品流通主体提升产品质量和打造品牌提供技术指导。</w:t>
      </w:r>
      <w:bookmarkEnd w:id="123"/>
      <w:bookmarkEnd w:id="124"/>
      <w:bookmarkEnd w:id="125"/>
    </w:p>
    <w:p>
      <w:pPr>
        <w:adjustRightInd w:val="0"/>
        <w:ind w:firstLine="627" w:firstLineChars="196"/>
        <w:outlineLvl w:val="1"/>
        <w:rPr>
          <w:rFonts w:ascii="仿宋" w:hAnsi="仿宋" w:eastAsia="仿宋"/>
          <w:color w:val="000000"/>
          <w:sz w:val="32"/>
        </w:rPr>
      </w:pPr>
      <w:bookmarkStart w:id="126" w:name="_Toc87536651"/>
      <w:bookmarkStart w:id="127" w:name="_Toc87536399"/>
      <w:bookmarkStart w:id="128" w:name="_Toc83815825"/>
      <w:r>
        <w:rPr>
          <w:rFonts w:ascii="楷体" w:hAnsi="楷体" w:eastAsia="楷体" w:cs="Nimbus Roman No9 L"/>
          <w:sz w:val="32"/>
          <w:szCs w:val="32"/>
        </w:rPr>
        <w:t>（二）加强生产资料流通标准化，促进健康发展。</w:t>
      </w:r>
      <w:bookmarkEnd w:id="126"/>
      <w:bookmarkEnd w:id="127"/>
      <w:bookmarkEnd w:id="128"/>
      <w:bookmarkStart w:id="129" w:name="_Toc87536400"/>
      <w:bookmarkStart w:id="130" w:name="_Toc83815826"/>
      <w:bookmarkStart w:id="131" w:name="_Toc87536652"/>
      <w:r>
        <w:rPr>
          <w:rFonts w:ascii="仿宋" w:hAnsi="仿宋" w:eastAsia="仿宋"/>
          <w:color w:val="000000"/>
          <w:sz w:val="32"/>
        </w:rPr>
        <w:t>在技术应用和管理创新方面加强标准化建设，构建线上线下融合的生产资料流通标准体系。支持生产资料流通企业</w:t>
      </w:r>
      <w:r>
        <w:rPr>
          <w:rFonts w:hint="eastAsia" w:ascii="仿宋" w:hAnsi="仿宋" w:eastAsia="仿宋"/>
          <w:color w:val="000000"/>
          <w:sz w:val="32"/>
        </w:rPr>
        <w:t>利用标准化手段</w:t>
      </w:r>
      <w:r>
        <w:rPr>
          <w:rFonts w:ascii="仿宋" w:hAnsi="仿宋" w:eastAsia="仿宋"/>
          <w:color w:val="000000"/>
          <w:sz w:val="32"/>
        </w:rPr>
        <w:t>衔接匹配上游供应与下游需求，打通产业链各环节，形成供应链集成服务模式，促进生产资料流通更好服务产业发展。鼓励生产资料流通企业在基础设施、交易方式、运营管理、物流配送、场景体验等方面加强标准化建设与应用，以标准化推进转型升级，促进健康发展。</w:t>
      </w:r>
      <w:bookmarkEnd w:id="129"/>
      <w:bookmarkEnd w:id="130"/>
      <w:bookmarkEnd w:id="131"/>
    </w:p>
    <w:p>
      <w:pPr>
        <w:adjustRightInd w:val="0"/>
        <w:ind w:firstLine="640"/>
        <w:rPr>
          <w:rFonts w:ascii="仿宋" w:hAnsi="仿宋" w:eastAsia="仿宋"/>
          <w:color w:val="000000"/>
          <w:sz w:val="32"/>
        </w:rPr>
      </w:pPr>
      <w:bookmarkStart w:id="132" w:name="_Toc62630484"/>
      <w:bookmarkStart w:id="133" w:name="_Toc63685725"/>
      <w:r>
        <w:rPr>
          <w:rFonts w:ascii="楷体" w:hAnsi="楷体" w:eastAsia="楷体" w:cs="Nimbus Roman No9 L"/>
          <w:sz w:val="32"/>
          <w:szCs w:val="32"/>
        </w:rPr>
        <w:t>（三）加强</w:t>
      </w:r>
      <w:bookmarkEnd w:id="132"/>
      <w:r>
        <w:rPr>
          <w:rFonts w:ascii="楷体" w:hAnsi="楷体" w:eastAsia="楷体" w:cs="Nimbus Roman No9 L"/>
          <w:sz w:val="32"/>
          <w:szCs w:val="32"/>
        </w:rPr>
        <w:t>供应链物流标准化建设，促进流通降本增效。</w:t>
      </w:r>
      <w:bookmarkEnd w:id="133"/>
      <w:r>
        <w:rPr>
          <w:rFonts w:ascii="仿宋" w:hAnsi="仿宋" w:eastAsia="仿宋"/>
          <w:color w:val="000000"/>
          <w:sz w:val="32"/>
        </w:rPr>
        <w:t>完善供应链相关标准，推动供应链技术、服务、模式等方面的协同创新，提高跨行业、全环节的供应链协调效率。重点推进供应链风险评估、供应链数字化、供应链管理服务等领域标准研制，提高产业链供应链现代化水平。持续推进商贸物流标准化建设，进一步推广标准托盘、标准周转箱（筐）</w:t>
      </w:r>
      <w:r>
        <w:rPr>
          <w:rFonts w:hint="eastAsia" w:ascii="仿宋" w:hAnsi="仿宋" w:eastAsia="仿宋"/>
          <w:color w:val="000000"/>
          <w:sz w:val="32"/>
        </w:rPr>
        <w:t>，</w:t>
      </w:r>
      <w:r>
        <w:rPr>
          <w:rFonts w:ascii="仿宋" w:hAnsi="仿宋" w:eastAsia="仿宋"/>
          <w:color w:val="000000"/>
          <w:sz w:val="32"/>
        </w:rPr>
        <w:t>提高循环共用效率和水平。</w:t>
      </w:r>
    </w:p>
    <w:p>
      <w:pPr>
        <w:adjustRightInd w:val="0"/>
        <w:ind w:firstLine="640"/>
        <w:rPr>
          <w:rFonts w:ascii="仿宋" w:hAnsi="仿宋" w:eastAsia="仿宋"/>
          <w:color w:val="000000"/>
          <w:sz w:val="32"/>
        </w:rPr>
      </w:pPr>
      <w:bookmarkStart w:id="134" w:name="_Toc63685726"/>
      <w:r>
        <w:rPr>
          <w:rFonts w:ascii="楷体" w:hAnsi="楷体" w:eastAsia="楷体" w:cs="Nimbus Roman No9 L"/>
          <w:sz w:val="32"/>
          <w:szCs w:val="32"/>
        </w:rPr>
        <w:t>（四）完善流通设施标准化建设，培育创新发展新动能。</w:t>
      </w:r>
      <w:bookmarkEnd w:id="134"/>
      <w:r>
        <w:rPr>
          <w:rFonts w:ascii="仿宋" w:hAnsi="仿宋" w:eastAsia="仿宋"/>
          <w:color w:val="000000"/>
          <w:sz w:val="32"/>
        </w:rPr>
        <w:t>加强县域商业体系标准化建设，改造提升县城综合商贸服务中心、物流配送中心和乡镇商贸中心</w:t>
      </w:r>
      <w:r>
        <w:rPr>
          <w:rFonts w:hint="eastAsia" w:ascii="仿宋" w:hAnsi="仿宋" w:eastAsia="仿宋"/>
          <w:color w:val="000000"/>
          <w:sz w:val="32"/>
        </w:rPr>
        <w:t>、村级商店</w:t>
      </w:r>
      <w:r>
        <w:rPr>
          <w:rFonts w:ascii="仿宋" w:hAnsi="仿宋" w:eastAsia="仿宋"/>
          <w:color w:val="000000"/>
          <w:sz w:val="32"/>
        </w:rPr>
        <w:t>。提升商品市场标准化水平，完善市场建设、管理、运营、服务等相关标准，提高流通效率，促进消费潜力释放。推动农贸市场标准化、智慧化升级改造，打通城乡流通“微循环”。优化社区便民生活服务标准，完善“智慧商店”</w:t>
      </w:r>
      <w:r>
        <w:rPr>
          <w:rFonts w:hint="eastAsia" w:ascii="仿宋" w:hAnsi="仿宋" w:eastAsia="仿宋"/>
          <w:color w:val="000000"/>
          <w:sz w:val="32"/>
        </w:rPr>
        <w:t>、</w:t>
      </w:r>
      <w:r>
        <w:rPr>
          <w:rFonts w:ascii="仿宋" w:hAnsi="仿宋" w:eastAsia="仿宋"/>
          <w:color w:val="000000"/>
          <w:sz w:val="32"/>
        </w:rPr>
        <w:t>“智慧街区”、“智慧商圈”建设标准</w:t>
      </w:r>
      <w:r>
        <w:rPr>
          <w:rFonts w:hint="eastAsia" w:ascii="仿宋" w:hAnsi="仿宋" w:eastAsia="仿宋"/>
          <w:color w:val="000000"/>
          <w:sz w:val="32"/>
        </w:rPr>
        <w:t>，健全城市一刻钟便民生活圈标准体系。</w:t>
      </w:r>
    </w:p>
    <w:p>
      <w:pPr>
        <w:ind w:firstLine="640" w:firstLineChars="200"/>
        <w:jc w:val="left"/>
        <w:rPr>
          <w:rFonts w:ascii="仿宋" w:hAnsi="仿宋" w:eastAsia="仿宋"/>
          <w:color w:val="000000"/>
          <w:sz w:val="32"/>
        </w:rPr>
      </w:pPr>
      <w:bookmarkStart w:id="135" w:name="_Toc63685727"/>
      <w:bookmarkStart w:id="136" w:name="_Toc62630485"/>
      <w:r>
        <w:rPr>
          <w:rFonts w:ascii="楷体" w:hAnsi="楷体" w:eastAsia="楷体" w:cs="Nimbus Roman No9 L"/>
          <w:sz w:val="32"/>
          <w:szCs w:val="32"/>
        </w:rPr>
        <w:t>（五）健全现代服务业标准体系，提升传统消费能级。</w:t>
      </w:r>
      <w:bookmarkEnd w:id="135"/>
      <w:r>
        <w:rPr>
          <w:rFonts w:ascii="仿宋" w:hAnsi="仿宋" w:eastAsia="仿宋"/>
          <w:color w:val="000000"/>
          <w:sz w:val="32"/>
        </w:rPr>
        <w:t>推动汽车</w:t>
      </w:r>
      <w:r>
        <w:rPr>
          <w:rFonts w:hint="eastAsia" w:ascii="仿宋" w:hAnsi="仿宋" w:eastAsia="仿宋"/>
          <w:color w:val="000000"/>
          <w:sz w:val="32"/>
        </w:rPr>
        <w:t>流通</w:t>
      </w:r>
      <w:r>
        <w:rPr>
          <w:rFonts w:ascii="仿宋" w:hAnsi="仿宋" w:eastAsia="仿宋"/>
          <w:color w:val="000000"/>
          <w:sz w:val="32"/>
        </w:rPr>
        <w:t>、石油成品油</w:t>
      </w:r>
      <w:r>
        <w:rPr>
          <w:rFonts w:hint="eastAsia" w:ascii="仿宋" w:hAnsi="仿宋" w:eastAsia="仿宋"/>
          <w:color w:val="000000"/>
          <w:sz w:val="32"/>
        </w:rPr>
        <w:t>流通</w:t>
      </w:r>
      <w:r>
        <w:rPr>
          <w:rFonts w:ascii="仿宋" w:hAnsi="仿宋" w:eastAsia="仿宋"/>
          <w:color w:val="000000"/>
          <w:sz w:val="32"/>
        </w:rPr>
        <w:t>、茧丝绸、酒类流通、旧货流通</w:t>
      </w:r>
      <w:r>
        <w:rPr>
          <w:rFonts w:hint="eastAsia" w:ascii="仿宋" w:hAnsi="仿宋" w:eastAsia="仿宋"/>
          <w:color w:val="000000"/>
          <w:sz w:val="32"/>
        </w:rPr>
        <w:t>、</w:t>
      </w:r>
      <w:r>
        <w:rPr>
          <w:rFonts w:ascii="仿宋" w:hAnsi="仿宋" w:eastAsia="仿宋"/>
          <w:color w:val="000000"/>
          <w:sz w:val="32"/>
        </w:rPr>
        <w:t>药品流通、国际货运代理、生产性服务业、居民服务业和网络拍卖等方面标准化建设，着力改善消费环境，促进行业转型升级，构建适应新形势下流通发展需要的高质量标准体系。加强流通企业信用评价指标、信用管理体系标准化建设，充分发挥信用标准化的技术支撑和保障作用。引导中华老字号企业标准化生产和企业内部标准化体系建设，助力规范化发展。</w:t>
      </w:r>
      <w:bookmarkStart w:id="137" w:name="_Toc63685728"/>
    </w:p>
    <w:bookmarkEnd w:id="136"/>
    <w:bookmarkEnd w:id="137"/>
    <w:p>
      <w:pPr>
        <w:adjustRightInd w:val="0"/>
        <w:ind w:firstLine="627" w:firstLineChars="196"/>
        <w:jc w:val="left"/>
        <w:outlineLvl w:val="1"/>
        <w:rPr>
          <w:rFonts w:ascii="仿宋" w:hAnsi="仿宋" w:eastAsia="仿宋"/>
          <w:color w:val="000000"/>
          <w:sz w:val="32"/>
        </w:rPr>
      </w:pPr>
      <w:bookmarkStart w:id="138" w:name="_Toc87536653"/>
      <w:bookmarkStart w:id="139" w:name="_Toc83815827"/>
      <w:bookmarkStart w:id="140" w:name="_Toc87536401"/>
      <w:r>
        <w:rPr>
          <w:rFonts w:ascii="楷体" w:hAnsi="楷体" w:eastAsia="楷体" w:cs="Nimbus Roman No9 L"/>
          <w:sz w:val="32"/>
          <w:szCs w:val="32"/>
        </w:rPr>
        <w:t>（六）完善商贸流通数字化标准，支撑商务高质量发展。</w:t>
      </w:r>
      <w:bookmarkEnd w:id="138"/>
      <w:bookmarkEnd w:id="139"/>
      <w:bookmarkEnd w:id="140"/>
      <w:bookmarkStart w:id="141" w:name="_Toc87536654"/>
      <w:bookmarkStart w:id="142" w:name="_Toc83815828"/>
      <w:bookmarkStart w:id="143" w:name="_Toc87536402"/>
      <w:r>
        <w:rPr>
          <w:rFonts w:ascii="仿宋" w:hAnsi="仿宋" w:eastAsia="仿宋"/>
          <w:color w:val="000000"/>
          <w:sz w:val="32"/>
        </w:rPr>
        <w:t>加强商务领域数字技术应用标准体系建设，研究建立统一的大数据全流程管理标准</w:t>
      </w:r>
      <w:r>
        <w:rPr>
          <w:rFonts w:hint="eastAsia" w:ascii="仿宋" w:hAnsi="仿宋" w:eastAsia="仿宋"/>
          <w:color w:val="000000"/>
          <w:sz w:val="32"/>
        </w:rPr>
        <w:t>，</w:t>
      </w:r>
      <w:r>
        <w:rPr>
          <w:rFonts w:ascii="仿宋" w:hAnsi="仿宋" w:eastAsia="仿宋"/>
          <w:color w:val="000000"/>
          <w:sz w:val="32"/>
        </w:rPr>
        <w:t>推动5G、人工智能、物联网、区块链等新技术标准化应用。加强电子商务</w:t>
      </w:r>
      <w:r>
        <w:rPr>
          <w:rFonts w:hint="eastAsia" w:ascii="仿宋" w:hAnsi="仿宋" w:eastAsia="仿宋"/>
          <w:color w:val="000000"/>
          <w:sz w:val="32"/>
        </w:rPr>
        <w:t>新业态新模式</w:t>
      </w:r>
      <w:r>
        <w:rPr>
          <w:rFonts w:ascii="仿宋" w:hAnsi="仿宋" w:eastAsia="仿宋"/>
          <w:color w:val="000000"/>
          <w:sz w:val="32"/>
        </w:rPr>
        <w:t>标准建设，促进直播电商、社交电商等规范发展</w:t>
      </w:r>
      <w:r>
        <w:rPr>
          <w:rFonts w:hint="eastAsia" w:ascii="仿宋" w:hAnsi="仿宋" w:eastAsia="仿宋"/>
          <w:color w:val="000000"/>
          <w:sz w:val="32"/>
        </w:rPr>
        <w:t>。</w:t>
      </w:r>
      <w:r>
        <w:rPr>
          <w:rFonts w:ascii="仿宋" w:hAnsi="仿宋" w:eastAsia="仿宋"/>
          <w:color w:val="000000"/>
          <w:sz w:val="32"/>
        </w:rPr>
        <w:t>完善电子商务公共服务标准体系，加强服务载体、物流支付、监测分析、人才培养等标准建设，提升公共服务平台、示范基地、产业园区的服务承载能力。</w:t>
      </w:r>
      <w:bookmarkEnd w:id="141"/>
      <w:bookmarkEnd w:id="142"/>
      <w:bookmarkEnd w:id="143"/>
    </w:p>
    <w:p>
      <w:pPr>
        <w:adjustRightInd w:val="0"/>
        <w:ind w:firstLine="627" w:firstLineChars="196"/>
        <w:jc w:val="left"/>
        <w:outlineLvl w:val="1"/>
        <w:rPr>
          <w:rFonts w:ascii="仿宋" w:hAnsi="仿宋" w:eastAsia="仿宋"/>
          <w:color w:val="000000"/>
          <w:sz w:val="32"/>
        </w:rPr>
      </w:pPr>
      <w:bookmarkStart w:id="144" w:name="_Toc63685729"/>
      <w:bookmarkStart w:id="145" w:name="_Toc62630487"/>
      <w:bookmarkStart w:id="146" w:name="_Toc87536655"/>
      <w:bookmarkStart w:id="147" w:name="_Toc87536403"/>
      <w:bookmarkStart w:id="148" w:name="_Toc83815829"/>
      <w:r>
        <w:rPr>
          <w:rFonts w:ascii="楷体" w:hAnsi="楷体" w:eastAsia="楷体" w:cs="Nimbus Roman No9 L"/>
          <w:sz w:val="32"/>
          <w:szCs w:val="32"/>
        </w:rPr>
        <w:t>（七）</w:t>
      </w:r>
      <w:bookmarkEnd w:id="144"/>
      <w:bookmarkEnd w:id="145"/>
      <w:r>
        <w:rPr>
          <w:rFonts w:ascii="楷体" w:hAnsi="楷体" w:eastAsia="楷体" w:cs="Nimbus Roman No9 L"/>
          <w:sz w:val="32"/>
          <w:szCs w:val="32"/>
        </w:rPr>
        <w:t>强化内外贸一体化发展，促进高水平对外开放。</w:t>
      </w:r>
      <w:bookmarkEnd w:id="146"/>
      <w:bookmarkEnd w:id="147"/>
      <w:bookmarkEnd w:id="148"/>
      <w:bookmarkStart w:id="149" w:name="_Toc87536656"/>
      <w:bookmarkStart w:id="150" w:name="_Toc87536404"/>
      <w:bookmarkStart w:id="151" w:name="_Toc83815830"/>
      <w:r>
        <w:rPr>
          <w:rFonts w:ascii="仿宋" w:hAnsi="仿宋" w:eastAsia="仿宋"/>
          <w:color w:val="000000"/>
          <w:sz w:val="32"/>
        </w:rPr>
        <w:t>加快外贸领域标准研制，制定</w:t>
      </w:r>
      <w:r>
        <w:rPr>
          <w:rFonts w:hint="eastAsia" w:ascii="仿宋" w:hAnsi="仿宋" w:eastAsia="仿宋"/>
          <w:color w:val="000000"/>
          <w:sz w:val="32"/>
        </w:rPr>
        <w:t>相关产品出口</w:t>
      </w:r>
      <w:r>
        <w:rPr>
          <w:rFonts w:ascii="仿宋" w:hAnsi="仿宋" w:eastAsia="仿宋"/>
          <w:color w:val="000000"/>
          <w:sz w:val="32"/>
        </w:rPr>
        <w:t>质量要求。</w:t>
      </w:r>
      <w:r>
        <w:rPr>
          <w:rFonts w:hint="eastAsia" w:ascii="仿宋" w:hAnsi="仿宋" w:eastAsia="仿宋"/>
          <w:color w:val="000000"/>
          <w:sz w:val="32"/>
        </w:rPr>
        <w:t>组织动员</w:t>
      </w:r>
      <w:r>
        <w:rPr>
          <w:rFonts w:ascii="仿宋" w:hAnsi="仿宋" w:eastAsia="仿宋"/>
          <w:color w:val="000000"/>
          <w:sz w:val="32"/>
        </w:rPr>
        <w:t>跨境电商综合试验区</w:t>
      </w:r>
      <w:r>
        <w:rPr>
          <w:rFonts w:hint="eastAsia" w:ascii="仿宋" w:hAnsi="仿宋" w:eastAsia="仿宋"/>
          <w:color w:val="000000"/>
          <w:sz w:val="32"/>
        </w:rPr>
        <w:t>研究开展跨境电商领域相关标准制修订，</w:t>
      </w:r>
      <w:r>
        <w:rPr>
          <w:rFonts w:ascii="仿宋" w:hAnsi="仿宋" w:eastAsia="仿宋"/>
          <w:color w:val="000000"/>
          <w:sz w:val="32"/>
        </w:rPr>
        <w:t>输出更多“中国方案”和“中国经验”。落实外商投资法等规定，保障外资企业平等参与标准化活动。做好世贸组织框架下强制性标准的合规、咨询等工作，按照世贸规则做好标准制定与通报事项。</w:t>
      </w:r>
      <w:bookmarkEnd w:id="149"/>
      <w:bookmarkEnd w:id="150"/>
      <w:bookmarkEnd w:id="151"/>
    </w:p>
    <w:p>
      <w:pPr>
        <w:adjustRightInd w:val="0"/>
        <w:ind w:left="640"/>
        <w:outlineLvl w:val="0"/>
        <w:rPr>
          <w:rFonts w:ascii="黑体" w:hAnsi="黑体" w:eastAsia="黑体" w:cs="Nimbus Roman No9 L"/>
          <w:bCs/>
          <w:kern w:val="44"/>
          <w:sz w:val="32"/>
          <w:szCs w:val="44"/>
        </w:rPr>
      </w:pPr>
      <w:bookmarkStart w:id="152" w:name="_Toc87536657"/>
      <w:bookmarkStart w:id="153" w:name="_Toc83815831"/>
      <w:bookmarkStart w:id="154" w:name="_Toc876482324"/>
      <w:bookmarkStart w:id="155" w:name="_Toc22441948"/>
      <w:bookmarkStart w:id="156" w:name="_Toc1080539852"/>
      <w:bookmarkStart w:id="157" w:name="_Toc87536405"/>
      <w:bookmarkStart w:id="158" w:name="_Toc699630195"/>
      <w:r>
        <w:rPr>
          <w:rFonts w:hint="eastAsia" w:ascii="黑体" w:hAnsi="黑体" w:eastAsia="黑体" w:cs="Nimbus Roman No9 L"/>
          <w:bCs/>
          <w:kern w:val="44"/>
          <w:sz w:val="32"/>
          <w:szCs w:val="44"/>
        </w:rPr>
        <w:t>四</w:t>
      </w:r>
      <w:r>
        <w:rPr>
          <w:rFonts w:ascii="黑体" w:hAnsi="黑体" w:eastAsia="黑体" w:cs="Nimbus Roman No9 L"/>
          <w:bCs/>
          <w:kern w:val="44"/>
          <w:sz w:val="32"/>
          <w:szCs w:val="44"/>
        </w:rPr>
        <w:t>、</w:t>
      </w:r>
      <w:bookmarkEnd w:id="118"/>
      <w:bookmarkStart w:id="159" w:name="_Toc62630489"/>
      <w:bookmarkStart w:id="160" w:name="_Toc62661958"/>
      <w:bookmarkStart w:id="161" w:name="_Toc62671250"/>
      <w:r>
        <w:rPr>
          <w:rFonts w:ascii="黑体" w:hAnsi="黑体" w:eastAsia="黑体" w:cs="Nimbus Roman No9 L"/>
          <w:bCs/>
          <w:kern w:val="44"/>
          <w:sz w:val="32"/>
          <w:szCs w:val="44"/>
        </w:rPr>
        <w:t>保障措施</w:t>
      </w:r>
      <w:bookmarkEnd w:id="119"/>
      <w:bookmarkEnd w:id="152"/>
      <w:bookmarkEnd w:id="153"/>
      <w:bookmarkEnd w:id="154"/>
      <w:bookmarkEnd w:id="155"/>
      <w:bookmarkEnd w:id="156"/>
      <w:bookmarkEnd w:id="157"/>
      <w:bookmarkEnd w:id="158"/>
      <w:bookmarkEnd w:id="159"/>
      <w:bookmarkEnd w:id="160"/>
      <w:bookmarkEnd w:id="161"/>
    </w:p>
    <w:p>
      <w:pPr>
        <w:adjustRightInd w:val="0"/>
        <w:ind w:firstLine="640" w:firstLineChars="200"/>
        <w:rPr>
          <w:rFonts w:ascii="仿宋" w:hAnsi="仿宋" w:eastAsia="仿宋"/>
          <w:color w:val="000000"/>
          <w:sz w:val="32"/>
        </w:rPr>
      </w:pPr>
      <w:r>
        <w:rPr>
          <w:rFonts w:ascii="楷体" w:hAnsi="楷体" w:eastAsia="楷体" w:cs="Nimbus Roman No9 L"/>
          <w:sz w:val="32"/>
          <w:szCs w:val="32"/>
        </w:rPr>
        <w:t>（一）加强组织领导。</w:t>
      </w:r>
      <w:r>
        <w:rPr>
          <w:rFonts w:ascii="仿宋" w:hAnsi="仿宋" w:eastAsia="仿宋"/>
          <w:color w:val="000000"/>
          <w:sz w:val="32"/>
        </w:rPr>
        <w:t>商务部将充分发挥部内标准化工作推进机制作用，加强与标准化主管部门的协调配合，强化对地方商务标准化工作的指导，支持建立跨区域的标准化协作机制。加强对事业单位、行业协会和标准化技术机构的指导，提高有关单位标准研究、制修订及推广能力。各地商务主管部门要进一步增强对标准化工作的认识，加强组织领导，明确责任分工，确保各项工作落地见效。</w:t>
      </w:r>
    </w:p>
    <w:p>
      <w:pPr>
        <w:adjustRightInd w:val="0"/>
        <w:ind w:firstLine="640" w:firstLineChars="200"/>
        <w:rPr>
          <w:rFonts w:ascii="仿宋" w:hAnsi="仿宋" w:eastAsia="仿宋"/>
          <w:color w:val="000000"/>
          <w:sz w:val="32"/>
        </w:rPr>
      </w:pPr>
      <w:r>
        <w:rPr>
          <w:rFonts w:ascii="楷体" w:hAnsi="楷体" w:eastAsia="楷体" w:cs="Nimbus Roman No9 L"/>
          <w:sz w:val="32"/>
          <w:szCs w:val="32"/>
        </w:rPr>
        <w:t>（</w:t>
      </w:r>
      <w:r>
        <w:rPr>
          <w:rFonts w:hint="eastAsia" w:ascii="楷体" w:hAnsi="楷体" w:eastAsia="楷体" w:cs="Nimbus Roman No9 L"/>
          <w:sz w:val="32"/>
          <w:szCs w:val="32"/>
        </w:rPr>
        <w:t>二</w:t>
      </w:r>
      <w:r>
        <w:rPr>
          <w:rFonts w:ascii="楷体" w:hAnsi="楷体" w:eastAsia="楷体" w:cs="Nimbus Roman No9 L"/>
          <w:sz w:val="32"/>
          <w:szCs w:val="32"/>
        </w:rPr>
        <w:t>）完善保障政策。</w:t>
      </w:r>
      <w:r>
        <w:rPr>
          <w:rFonts w:ascii="仿宋" w:hAnsi="仿宋" w:eastAsia="仿宋"/>
          <w:color w:val="000000"/>
          <w:sz w:val="32"/>
        </w:rPr>
        <w:t>完善标准制修订经费保障机制，积极协调有关部门争取将标准化建设纳入有关试点示范项目资金支持范围。各地要制定完善促进标准化发展的政策措施，强化政策支持，健全标准化表彰和奖励制度。建立和健全财政投入保障制度，统筹安排标准化工作资金，加大标准化资金投入，鼓励和引导企事业单位、社会组织加大投入，形成政府部门引导、市场主体为主的标准化经费投入保障机制。</w:t>
      </w:r>
    </w:p>
    <w:p>
      <w:pPr>
        <w:adjustRightInd w:val="0"/>
        <w:ind w:firstLine="640" w:firstLineChars="200"/>
        <w:rPr>
          <w:rFonts w:ascii="仿宋" w:hAnsi="仿宋" w:eastAsia="仿宋"/>
          <w:color w:val="000000"/>
          <w:sz w:val="32"/>
        </w:rPr>
      </w:pPr>
      <w:r>
        <w:rPr>
          <w:rFonts w:ascii="楷体" w:hAnsi="楷体" w:eastAsia="楷体" w:cs="Nimbus Roman No9 L"/>
          <w:sz w:val="32"/>
          <w:szCs w:val="32"/>
        </w:rPr>
        <w:t>（</w:t>
      </w:r>
      <w:r>
        <w:rPr>
          <w:rFonts w:hint="eastAsia" w:ascii="楷体" w:hAnsi="楷体" w:eastAsia="楷体" w:cs="Nimbus Roman No9 L"/>
          <w:sz w:val="32"/>
          <w:szCs w:val="32"/>
        </w:rPr>
        <w:t>三</w:t>
      </w:r>
      <w:r>
        <w:rPr>
          <w:rFonts w:ascii="楷体" w:hAnsi="楷体" w:eastAsia="楷体" w:cs="Nimbus Roman No9 L"/>
          <w:sz w:val="32"/>
          <w:szCs w:val="32"/>
        </w:rPr>
        <w:t>）强化队伍建设。</w:t>
      </w:r>
      <w:r>
        <w:rPr>
          <w:rFonts w:ascii="仿宋" w:hAnsi="仿宋" w:eastAsia="仿宋"/>
          <w:color w:val="000000"/>
          <w:sz w:val="32"/>
        </w:rPr>
        <w:t>支持标准化技术委员会、行业协会对企业从事标准化工作的人员开展专业知识培训，鼓励企业技术和管理人员参与国家标准和行业标准研制工作。加强标准化专家队伍建设，建立标准化专家库，稳定和扩大标准化人才队伍，发挥专家咨询与技术指导作用。</w:t>
      </w:r>
      <w:r>
        <w:rPr>
          <w:rFonts w:hint="eastAsia" w:ascii="仿宋" w:hAnsi="仿宋" w:eastAsia="仿宋"/>
          <w:color w:val="000000"/>
          <w:sz w:val="32"/>
        </w:rPr>
        <w:t>商务部将</w:t>
      </w:r>
      <w:r>
        <w:rPr>
          <w:rFonts w:ascii="仿宋" w:hAnsi="仿宋" w:eastAsia="仿宋"/>
          <w:color w:val="000000"/>
          <w:sz w:val="32"/>
        </w:rPr>
        <w:t>加强对地方商务主管部门、标准化技术委员会、技术支撑单位从事标准化工作人员的标准化培训。</w:t>
      </w:r>
    </w:p>
    <w:p>
      <w:pPr>
        <w:ind w:firstLine="640" w:firstLineChars="200"/>
        <w:rPr>
          <w:rFonts w:ascii="仿宋" w:hAnsi="仿宋" w:eastAsia="仿宋"/>
          <w:color w:val="000000"/>
          <w:sz w:val="32"/>
        </w:rPr>
      </w:pPr>
      <w:r>
        <w:rPr>
          <w:rFonts w:ascii="楷体" w:hAnsi="楷体" w:eastAsia="楷体" w:cs="Nimbus Roman No9 L"/>
          <w:sz w:val="32"/>
          <w:szCs w:val="32"/>
        </w:rPr>
        <w:t>（</w:t>
      </w:r>
      <w:r>
        <w:rPr>
          <w:rFonts w:hint="eastAsia" w:ascii="楷体" w:hAnsi="楷体" w:eastAsia="楷体" w:cs="Nimbus Roman No9 L"/>
          <w:sz w:val="32"/>
          <w:szCs w:val="32"/>
        </w:rPr>
        <w:t>四</w:t>
      </w:r>
      <w:r>
        <w:rPr>
          <w:rFonts w:ascii="楷体" w:hAnsi="楷体" w:eastAsia="楷体" w:cs="Nimbus Roman No9 L"/>
          <w:sz w:val="32"/>
          <w:szCs w:val="32"/>
        </w:rPr>
        <w:t>）做好宣传推广。</w:t>
      </w:r>
      <w:r>
        <w:rPr>
          <w:rFonts w:ascii="仿宋" w:hAnsi="仿宋" w:eastAsia="仿宋"/>
          <w:color w:val="000000"/>
          <w:sz w:val="32"/>
        </w:rPr>
        <w:t>建立商务标准化案例库和优秀成果推广平台，推广先进经验做法。加大媒体宣传和推广力度，提高社会认知度和企业参与积极性，提升从业人员标准业务水平。各地商务主管部门要加强对标准化试点工作的宣传力度，通过地方媒体、政府网站等多种渠道和方式，有针对性</w:t>
      </w:r>
      <w:r>
        <w:rPr>
          <w:rFonts w:hint="eastAsia" w:ascii="仿宋" w:hAnsi="仿宋" w:eastAsia="仿宋"/>
          <w:color w:val="000000"/>
          <w:sz w:val="32"/>
        </w:rPr>
        <w:t>地</w:t>
      </w:r>
      <w:r>
        <w:rPr>
          <w:rFonts w:ascii="仿宋" w:hAnsi="仿宋" w:eastAsia="仿宋"/>
          <w:color w:val="000000"/>
          <w:sz w:val="32"/>
        </w:rPr>
        <w:t>选择引导带动作用强、公众关注度高、社会影响面广的试点单位进行深度宣传和跟踪报道，持续扩大试点影响力。</w:t>
      </w:r>
    </w:p>
    <w:p>
      <w:pPr>
        <w:ind w:firstLine="640" w:firstLineChars="200"/>
        <w:rPr>
          <w:rFonts w:ascii="仿宋" w:hAnsi="仿宋" w:eastAsia="仿宋"/>
          <w:color w:val="000000"/>
          <w:sz w:val="32"/>
        </w:rPr>
      </w:pPr>
    </w:p>
    <w:p>
      <w:pPr>
        <w:ind w:firstLine="640" w:firstLineChars="200"/>
        <w:rPr>
          <w:rFonts w:ascii="仿宋" w:hAnsi="仿宋" w:eastAsia="仿宋"/>
          <w:color w:val="000000"/>
          <w:sz w:val="32"/>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方正小标宋简体" w:hAnsi="宋体" w:eastAsia="方正小标宋简体" w:cs="方正小标宋简体"/>
          <w:szCs w:val="44"/>
        </w:rPr>
      </w:pPr>
      <w:bookmarkStart w:id="162" w:name="_Toc931858816"/>
      <w:r>
        <w:rPr>
          <w:rFonts w:hint="eastAsia" w:ascii="方正小标宋简体" w:hAnsi="方正小标宋简体" w:eastAsia="方正小标宋简体" w:cs="方正小标宋简体"/>
          <w:b w:val="0"/>
          <w:bCs w:val="0"/>
          <w:sz w:val="36"/>
          <w:szCs w:val="36"/>
        </w:rPr>
        <w:t>商务领域（SB、WM）行业标准管理范围</w:t>
      </w:r>
      <w:bookmarkEnd w:id="162"/>
    </w:p>
    <w:p>
      <w:pPr>
        <w:rPr>
          <w:rFonts w:ascii="黑体" w:hAnsi="黑体" w:eastAsia="黑体"/>
          <w:sz w:val="22"/>
        </w:rPr>
      </w:pPr>
    </w:p>
    <w:p>
      <w:pPr>
        <w:ind w:firstLine="640" w:firstLineChars="200"/>
        <w:rPr>
          <w:rFonts w:hint="eastAsia" w:ascii="黑体" w:hAnsi="黑体" w:eastAsia="黑体" w:cs="黑体"/>
          <w:bCs/>
          <w:sz w:val="32"/>
        </w:rPr>
      </w:pPr>
      <w:r>
        <w:rPr>
          <w:rFonts w:hint="eastAsia" w:ascii="黑体" w:hAnsi="黑体" w:eastAsia="黑体" w:cs="黑体"/>
          <w:bCs/>
          <w:sz w:val="32"/>
        </w:rPr>
        <w:t>一、国内贸易（SB，包括商业和物资）行业标准管理范围</w:t>
      </w:r>
    </w:p>
    <w:p>
      <w:pPr>
        <w:ind w:firstLine="640" w:firstLineChars="200"/>
        <w:rPr>
          <w:rFonts w:hint="eastAsia" w:ascii="仿宋" w:hAnsi="仿宋" w:eastAsia="仿宋" w:cs="仿宋"/>
          <w:bCs/>
          <w:sz w:val="32"/>
        </w:rPr>
      </w:pPr>
      <w:r>
        <w:rPr>
          <w:rFonts w:hint="eastAsia" w:ascii="仿宋" w:hAnsi="仿宋" w:eastAsia="仿宋" w:cs="仿宋"/>
          <w:bCs/>
          <w:sz w:val="32"/>
        </w:rPr>
        <w:t>（一）国内贸易基础通用标准：包括术语、分类、标识与编码、分等与分级等。</w:t>
      </w:r>
    </w:p>
    <w:p>
      <w:pPr>
        <w:ind w:firstLine="640" w:firstLineChars="200"/>
        <w:rPr>
          <w:rFonts w:hint="eastAsia" w:ascii="仿宋" w:hAnsi="仿宋" w:eastAsia="仿宋" w:cs="仿宋"/>
          <w:bCs/>
          <w:sz w:val="32"/>
        </w:rPr>
      </w:pPr>
      <w:r>
        <w:rPr>
          <w:rFonts w:hint="eastAsia" w:ascii="仿宋" w:hAnsi="仿宋" w:eastAsia="仿宋" w:cs="仿宋"/>
          <w:bCs/>
          <w:sz w:val="32"/>
        </w:rPr>
        <w:t>（二）重要商品流通标准：包括农产品、酒类、药品、茧丝绸、汽车及摩托车、汽车及摩托车零配件等用品、石油成品油、建材、金属、木材等。</w:t>
      </w:r>
    </w:p>
    <w:p>
      <w:pPr>
        <w:ind w:firstLine="640" w:firstLineChars="200"/>
        <w:rPr>
          <w:rFonts w:hint="eastAsia" w:ascii="仿宋" w:hAnsi="仿宋" w:eastAsia="仿宋" w:cs="仿宋"/>
          <w:bCs/>
          <w:sz w:val="32"/>
        </w:rPr>
      </w:pPr>
      <w:r>
        <w:rPr>
          <w:rFonts w:hint="eastAsia" w:ascii="仿宋" w:hAnsi="仿宋" w:eastAsia="仿宋" w:cs="仿宋"/>
          <w:bCs/>
          <w:sz w:val="32"/>
        </w:rPr>
        <w:t>（三）批发设施设备和管理标准：包括农产品、消费品、生产资料（建材、木材、金属等）等批发（含商品交易市场）。</w:t>
      </w:r>
    </w:p>
    <w:p>
      <w:pPr>
        <w:ind w:firstLine="640" w:firstLineChars="200"/>
        <w:rPr>
          <w:rFonts w:hint="eastAsia" w:ascii="仿宋" w:hAnsi="仿宋" w:eastAsia="仿宋" w:cs="仿宋"/>
          <w:bCs/>
          <w:sz w:val="32"/>
        </w:rPr>
      </w:pPr>
      <w:r>
        <w:rPr>
          <w:rFonts w:hint="eastAsia" w:ascii="仿宋" w:hAnsi="仿宋" w:eastAsia="仿宋" w:cs="仿宋"/>
          <w:bCs/>
          <w:sz w:val="32"/>
        </w:rPr>
        <w:t>（四）零售设施设备和管理标准：包括百货店、超市、大型综合超市、购物中心、仓储会员店、便利店、专业店、专卖店、家居建材商店等零售业态，以及步行街、商业街、商圈、便民生活服务圈、社区商业、农贸市场（菜市场）、农村商业等。</w:t>
      </w:r>
    </w:p>
    <w:p>
      <w:pPr>
        <w:ind w:firstLine="640" w:firstLineChars="200"/>
        <w:rPr>
          <w:rFonts w:hint="eastAsia" w:ascii="仿宋" w:hAnsi="仿宋" w:eastAsia="仿宋" w:cs="仿宋"/>
          <w:bCs/>
          <w:sz w:val="32"/>
        </w:rPr>
      </w:pPr>
      <w:r>
        <w:rPr>
          <w:rFonts w:hint="eastAsia" w:ascii="仿宋" w:hAnsi="仿宋" w:eastAsia="仿宋" w:cs="仿宋"/>
          <w:bCs/>
          <w:sz w:val="32"/>
        </w:rPr>
        <w:t>（五）商贸物流设施设备和管理标准：包括物流基地（园区）、公共配送（分拨）中心、县域物流配送中心、生鲜物流配送中心、末端配送网点、仓储设施、供应链管理服务</w:t>
      </w:r>
      <w:r>
        <w:rPr>
          <w:rFonts w:hint="eastAsia" w:ascii="仿宋" w:hAnsi="仿宋" w:eastAsia="仿宋" w:cs="仿宋"/>
          <w:bCs/>
          <w:sz w:val="32"/>
          <w:lang w:eastAsia="zh-CN"/>
        </w:rPr>
        <w:t>、农产品产地低温配送中心、农产品田头商品化处理</w:t>
      </w:r>
      <w:r>
        <w:rPr>
          <w:rFonts w:hint="eastAsia" w:ascii="仿宋" w:hAnsi="仿宋" w:eastAsia="仿宋" w:cs="仿宋"/>
          <w:bCs/>
          <w:sz w:val="32"/>
        </w:rPr>
        <w:t>等。</w:t>
      </w:r>
    </w:p>
    <w:p>
      <w:pPr>
        <w:ind w:firstLine="640" w:firstLineChars="200"/>
        <w:rPr>
          <w:rFonts w:hint="eastAsia" w:ascii="仿宋" w:hAnsi="仿宋" w:eastAsia="仿宋" w:cs="仿宋"/>
          <w:bCs/>
          <w:sz w:val="32"/>
        </w:rPr>
      </w:pPr>
      <w:r>
        <w:rPr>
          <w:rFonts w:hint="eastAsia" w:ascii="仿宋" w:hAnsi="仿宋" w:eastAsia="仿宋" w:cs="仿宋"/>
          <w:bCs/>
          <w:sz w:val="32"/>
        </w:rPr>
        <w:t>（六）绿色流通基础与管理、回收与加工、技术、设施设备、服务与支撑标准：包括再生资源回收、加工，再生资源、再生原料、再生产品流通，报废机动车回用件、再制造件流通、旧货流通，流通领域节能减排等。</w:t>
      </w:r>
    </w:p>
    <w:p>
      <w:pPr>
        <w:ind w:firstLine="640" w:firstLineChars="200"/>
        <w:rPr>
          <w:rFonts w:hint="eastAsia" w:ascii="仿宋" w:hAnsi="仿宋" w:eastAsia="仿宋" w:cs="仿宋"/>
          <w:bCs/>
          <w:sz w:val="32"/>
        </w:rPr>
      </w:pPr>
      <w:r>
        <w:rPr>
          <w:rFonts w:hint="eastAsia" w:ascii="仿宋" w:hAnsi="仿宋" w:eastAsia="仿宋" w:cs="仿宋"/>
          <w:bCs/>
          <w:sz w:val="32"/>
        </w:rPr>
        <w:t>（七）住宿和餐饮管理和服务标准。</w:t>
      </w:r>
    </w:p>
    <w:p>
      <w:pPr>
        <w:ind w:firstLine="640" w:firstLineChars="200"/>
        <w:rPr>
          <w:rFonts w:hint="eastAsia" w:ascii="仿宋" w:hAnsi="仿宋" w:eastAsia="仿宋" w:cs="仿宋"/>
          <w:bCs/>
          <w:sz w:val="32"/>
        </w:rPr>
      </w:pPr>
      <w:r>
        <w:rPr>
          <w:rFonts w:hint="eastAsia" w:ascii="仿宋" w:hAnsi="仿宋" w:eastAsia="仿宋" w:cs="仿宋"/>
          <w:bCs/>
          <w:sz w:val="32"/>
        </w:rPr>
        <w:t>（八）居民服务业管理和服务标准：包括家政服务、美发美容、洗染、洗浴、人像摄影、家电维修等。</w:t>
      </w:r>
    </w:p>
    <w:p>
      <w:pPr>
        <w:ind w:firstLine="640" w:firstLineChars="200"/>
        <w:rPr>
          <w:rFonts w:hint="eastAsia" w:ascii="仿宋" w:hAnsi="仿宋" w:eastAsia="仿宋" w:cs="仿宋"/>
          <w:bCs/>
          <w:sz w:val="32"/>
        </w:rPr>
      </w:pPr>
      <w:r>
        <w:rPr>
          <w:rFonts w:hint="eastAsia" w:ascii="仿宋" w:hAnsi="仿宋" w:eastAsia="仿宋" w:cs="仿宋"/>
          <w:bCs/>
          <w:sz w:val="32"/>
        </w:rPr>
        <w:t>（九）电子商务（数字商务）管理和服务标准。</w:t>
      </w:r>
    </w:p>
    <w:p>
      <w:pPr>
        <w:ind w:firstLine="640" w:firstLineChars="200"/>
        <w:rPr>
          <w:rFonts w:hint="eastAsia" w:ascii="仿宋" w:hAnsi="仿宋" w:eastAsia="仿宋" w:cs="仿宋"/>
          <w:bCs/>
          <w:sz w:val="32"/>
        </w:rPr>
      </w:pPr>
      <w:r>
        <w:rPr>
          <w:rFonts w:hint="eastAsia" w:ascii="仿宋" w:hAnsi="仿宋" w:eastAsia="仿宋" w:cs="仿宋"/>
          <w:bCs/>
          <w:sz w:val="32"/>
        </w:rPr>
        <w:t>（十）展览及相关业务、租赁</w:t>
      </w:r>
      <w:r>
        <w:rPr>
          <w:rFonts w:hint="eastAsia" w:ascii="仿宋" w:hAnsi="仿宋" w:eastAsia="仿宋" w:cs="仿宋"/>
          <w:bCs/>
          <w:sz w:val="32"/>
          <w:lang w:eastAsia="zh-CN"/>
        </w:rPr>
        <w:t>、</w:t>
      </w:r>
      <w:r>
        <w:rPr>
          <w:rFonts w:hint="eastAsia" w:ascii="仿宋" w:hAnsi="仿宋" w:eastAsia="仿宋" w:cs="仿宋"/>
          <w:bCs/>
          <w:sz w:val="32"/>
        </w:rPr>
        <w:t>拍卖、直销、商业特许经营、商业信用、中华老字号、商贸古镇等管理</w:t>
      </w:r>
      <w:r>
        <w:rPr>
          <w:rFonts w:hint="eastAsia" w:ascii="仿宋" w:hAnsi="仿宋" w:eastAsia="仿宋" w:cs="仿宋"/>
          <w:bCs/>
          <w:sz w:val="32"/>
          <w:lang w:eastAsia="zh-CN"/>
        </w:rPr>
        <w:t>和服务</w:t>
      </w:r>
      <w:r>
        <w:rPr>
          <w:rFonts w:hint="eastAsia" w:ascii="仿宋" w:hAnsi="仿宋" w:eastAsia="仿宋" w:cs="仿宋"/>
          <w:bCs/>
          <w:sz w:val="32"/>
        </w:rPr>
        <w:t>标准。</w:t>
      </w:r>
    </w:p>
    <w:p>
      <w:pPr>
        <w:ind w:firstLine="640" w:firstLineChars="200"/>
        <w:rPr>
          <w:rFonts w:hint="eastAsia" w:ascii="黑体" w:hAnsi="黑体" w:eastAsia="黑体" w:cs="黑体"/>
          <w:bCs/>
          <w:sz w:val="32"/>
        </w:rPr>
      </w:pPr>
      <w:r>
        <w:rPr>
          <w:rFonts w:hint="eastAsia" w:ascii="黑体" w:hAnsi="黑体" w:eastAsia="黑体" w:cs="黑体"/>
          <w:bCs/>
          <w:sz w:val="32"/>
        </w:rPr>
        <w:t>二、外经贸（WM）行业标准管理范围</w:t>
      </w:r>
    </w:p>
    <w:p>
      <w:pPr>
        <w:ind w:firstLine="640" w:firstLineChars="200"/>
        <w:rPr>
          <w:rFonts w:hint="eastAsia" w:ascii="仿宋" w:hAnsi="仿宋" w:eastAsia="仿宋" w:cs="仿宋"/>
          <w:bCs/>
          <w:sz w:val="32"/>
        </w:rPr>
      </w:pPr>
      <w:r>
        <w:rPr>
          <w:rFonts w:hint="eastAsia" w:ascii="仿宋" w:hAnsi="仿宋" w:eastAsia="仿宋" w:cs="仿宋"/>
          <w:bCs/>
          <w:sz w:val="32"/>
        </w:rPr>
        <w:t>（一）外经贸业务基础性标准：包括术语、分类、标识与代码、分等与分级等。</w:t>
      </w:r>
    </w:p>
    <w:p>
      <w:pPr>
        <w:ind w:firstLine="640" w:firstLineChars="200"/>
        <w:rPr>
          <w:rFonts w:hint="eastAsia" w:ascii="仿宋" w:hAnsi="仿宋" w:eastAsia="仿宋" w:cs="仿宋"/>
          <w:bCs/>
          <w:sz w:val="32"/>
        </w:rPr>
      </w:pPr>
      <w:r>
        <w:rPr>
          <w:rFonts w:hint="eastAsia" w:ascii="仿宋" w:hAnsi="仿宋" w:eastAsia="仿宋" w:cs="仿宋"/>
          <w:bCs/>
          <w:sz w:val="32"/>
        </w:rPr>
        <w:t>（二）外经贸综合性标准和规范：包括商品贸易、技术贸易、服务贸易、数字贸易。</w:t>
      </w:r>
    </w:p>
    <w:p>
      <w:pPr>
        <w:ind w:firstLine="640" w:firstLineChars="200"/>
        <w:rPr>
          <w:rFonts w:hint="eastAsia" w:ascii="仿宋" w:hAnsi="仿宋" w:eastAsia="仿宋" w:cs="仿宋"/>
          <w:bCs/>
          <w:sz w:val="32"/>
        </w:rPr>
      </w:pPr>
      <w:r>
        <w:rPr>
          <w:rFonts w:hint="eastAsia" w:ascii="仿宋" w:hAnsi="仿宋" w:eastAsia="仿宋" w:cs="仿宋"/>
          <w:bCs/>
          <w:sz w:val="32"/>
        </w:rPr>
        <w:t>（三）外经贸专业性标准和规范：</w:t>
      </w:r>
    </w:p>
    <w:p>
      <w:pPr>
        <w:ind w:firstLine="640" w:firstLineChars="200"/>
        <w:rPr>
          <w:rFonts w:hint="eastAsia" w:ascii="仿宋" w:hAnsi="仿宋" w:eastAsia="仿宋" w:cs="仿宋"/>
          <w:bCs/>
          <w:sz w:val="32"/>
        </w:rPr>
      </w:pPr>
      <w:r>
        <w:rPr>
          <w:rFonts w:hint="eastAsia" w:ascii="仿宋" w:hAnsi="仿宋" w:eastAsia="仿宋" w:cs="仿宋"/>
          <w:bCs/>
          <w:sz w:val="32"/>
        </w:rPr>
        <w:t>1. 进出口货物配额、关税配额、许可证、招标、议标等；</w:t>
      </w:r>
    </w:p>
    <w:p>
      <w:pPr>
        <w:ind w:firstLine="640" w:firstLineChars="200"/>
        <w:rPr>
          <w:rFonts w:hint="eastAsia" w:ascii="仿宋" w:hAnsi="仿宋" w:eastAsia="仿宋" w:cs="仿宋"/>
          <w:bCs/>
          <w:sz w:val="32"/>
        </w:rPr>
      </w:pPr>
      <w:r>
        <w:rPr>
          <w:rFonts w:hint="eastAsia" w:ascii="仿宋" w:hAnsi="仿宋" w:eastAsia="仿宋" w:cs="仿宋"/>
          <w:bCs/>
          <w:sz w:val="32"/>
        </w:rPr>
        <w:t>2. 利用外资、与国际贸易方式对应的管理标准；</w:t>
      </w:r>
    </w:p>
    <w:p>
      <w:pPr>
        <w:ind w:firstLine="640" w:firstLineChars="200"/>
        <w:rPr>
          <w:rFonts w:hint="eastAsia" w:ascii="仿宋" w:hAnsi="仿宋" w:eastAsia="仿宋" w:cs="仿宋"/>
          <w:bCs/>
          <w:sz w:val="32"/>
        </w:rPr>
      </w:pPr>
      <w:r>
        <w:rPr>
          <w:rFonts w:hint="eastAsia" w:ascii="仿宋" w:hAnsi="仿宋" w:eastAsia="仿宋" w:cs="仿宋"/>
          <w:bCs/>
          <w:sz w:val="32"/>
        </w:rPr>
        <w:t>3. 对外投资和经济合作，包括对外投资、对外援助、对外承包工程、对外劳务合作等业务；</w:t>
      </w:r>
    </w:p>
    <w:p>
      <w:pPr>
        <w:ind w:firstLine="640" w:firstLineChars="200"/>
        <w:rPr>
          <w:rFonts w:hint="eastAsia" w:ascii="仿宋" w:hAnsi="仿宋" w:eastAsia="仿宋" w:cs="仿宋"/>
          <w:bCs/>
          <w:sz w:val="32"/>
        </w:rPr>
      </w:pPr>
      <w:r>
        <w:rPr>
          <w:rFonts w:hint="eastAsia" w:ascii="仿宋" w:hAnsi="仿宋" w:eastAsia="仿宋" w:cs="仿宋"/>
          <w:bCs/>
          <w:sz w:val="32"/>
        </w:rPr>
        <w:t>4. 跨境电商、市场采购</w:t>
      </w:r>
      <w:r>
        <w:rPr>
          <w:rFonts w:hint="eastAsia" w:ascii="仿宋" w:hAnsi="仿宋" w:eastAsia="仿宋" w:cs="仿宋"/>
          <w:bCs/>
          <w:sz w:val="32"/>
          <w:lang w:eastAsia="zh-CN"/>
        </w:rPr>
        <w:t>、技术转让</w:t>
      </w:r>
      <w:r>
        <w:rPr>
          <w:rFonts w:hint="eastAsia" w:ascii="仿宋" w:hAnsi="仿宋" w:eastAsia="仿宋" w:cs="仿宋"/>
          <w:bCs/>
          <w:sz w:val="32"/>
        </w:rPr>
        <w:t>等外</w:t>
      </w:r>
      <w:r>
        <w:rPr>
          <w:rFonts w:hint="eastAsia" w:ascii="仿宋" w:hAnsi="仿宋" w:eastAsia="仿宋" w:cs="仿宋"/>
          <w:bCs/>
          <w:sz w:val="32"/>
          <w:lang w:eastAsia="zh-CN"/>
        </w:rPr>
        <w:t>经贸</w:t>
      </w:r>
      <w:r>
        <w:rPr>
          <w:rFonts w:hint="eastAsia" w:ascii="仿宋" w:hAnsi="仿宋" w:eastAsia="仿宋" w:cs="仿宋"/>
          <w:bCs/>
          <w:sz w:val="32"/>
        </w:rPr>
        <w:t>业务；</w:t>
      </w:r>
    </w:p>
    <w:p>
      <w:pPr>
        <w:ind w:firstLine="640" w:firstLineChars="200"/>
        <w:rPr>
          <w:rFonts w:hint="eastAsia" w:ascii="仿宋" w:hAnsi="仿宋" w:eastAsia="仿宋" w:cs="仿宋"/>
          <w:bCs/>
          <w:sz w:val="32"/>
        </w:rPr>
      </w:pPr>
      <w:r>
        <w:rPr>
          <w:rFonts w:hint="eastAsia" w:ascii="仿宋" w:hAnsi="仿宋" w:eastAsia="仿宋" w:cs="仿宋"/>
          <w:bCs/>
          <w:sz w:val="32"/>
        </w:rPr>
        <w:t>5. 外经贸企业社会责任。</w:t>
      </w:r>
    </w:p>
    <w:p>
      <w:pPr>
        <w:ind w:firstLine="640" w:firstLineChars="200"/>
        <w:rPr>
          <w:rFonts w:hint="eastAsia" w:ascii="仿宋" w:hAnsi="仿宋" w:eastAsia="仿宋" w:cs="仿宋"/>
          <w:bCs/>
          <w:sz w:val="32"/>
        </w:rPr>
      </w:pPr>
      <w:r>
        <w:rPr>
          <w:rFonts w:hint="eastAsia" w:ascii="仿宋" w:hAnsi="仿宋" w:eastAsia="仿宋" w:cs="仿宋"/>
          <w:bCs/>
          <w:sz w:val="32"/>
        </w:rPr>
        <w:t>（四）国际贸易程序、外经贸业务单证、数据格式和填制标准</w:t>
      </w:r>
      <w:r>
        <w:rPr>
          <w:rFonts w:hint="eastAsia" w:ascii="仿宋" w:hAnsi="仿宋" w:eastAsia="仿宋" w:cs="仿宋"/>
          <w:bCs/>
          <w:sz w:val="32"/>
          <w:lang w:eastAsia="zh-CN"/>
        </w:rPr>
        <w:t>（除集装箱运输电子数据交换单证）</w:t>
      </w:r>
      <w:r>
        <w:rPr>
          <w:rFonts w:hint="eastAsia" w:ascii="仿宋" w:hAnsi="仿宋" w:eastAsia="仿宋" w:cs="仿宋"/>
          <w:bCs/>
          <w:sz w:val="32"/>
        </w:rPr>
        <w:t>：</w:t>
      </w:r>
    </w:p>
    <w:p>
      <w:pPr>
        <w:ind w:firstLine="640" w:firstLineChars="200"/>
        <w:rPr>
          <w:rFonts w:hint="eastAsia" w:ascii="仿宋" w:hAnsi="仿宋" w:eastAsia="仿宋" w:cs="仿宋"/>
          <w:bCs/>
          <w:sz w:val="32"/>
        </w:rPr>
      </w:pPr>
      <w:r>
        <w:rPr>
          <w:rFonts w:hint="eastAsia" w:ascii="仿宋" w:hAnsi="仿宋" w:eastAsia="仿宋" w:cs="仿宋"/>
          <w:bCs/>
          <w:sz w:val="32"/>
        </w:rPr>
        <w:t>1. 国际贸易程序；</w:t>
      </w:r>
    </w:p>
    <w:p>
      <w:pPr>
        <w:ind w:firstLine="640" w:firstLineChars="200"/>
        <w:rPr>
          <w:rFonts w:hint="eastAsia" w:ascii="仿宋" w:hAnsi="仿宋" w:eastAsia="仿宋" w:cs="仿宋"/>
          <w:bCs/>
          <w:sz w:val="32"/>
        </w:rPr>
      </w:pPr>
      <w:r>
        <w:rPr>
          <w:rFonts w:hint="eastAsia" w:ascii="仿宋" w:hAnsi="仿宋" w:eastAsia="仿宋" w:cs="仿宋"/>
          <w:bCs/>
          <w:sz w:val="32"/>
        </w:rPr>
        <w:t>2. 批准证书、文件格式；</w:t>
      </w:r>
    </w:p>
    <w:p>
      <w:pPr>
        <w:ind w:firstLine="640" w:firstLineChars="200"/>
        <w:rPr>
          <w:rFonts w:hint="eastAsia" w:ascii="仿宋" w:hAnsi="仿宋" w:eastAsia="仿宋" w:cs="仿宋"/>
          <w:bCs/>
          <w:sz w:val="32"/>
        </w:rPr>
      </w:pPr>
      <w:r>
        <w:rPr>
          <w:rFonts w:hint="eastAsia" w:ascii="仿宋" w:hAnsi="仿宋" w:eastAsia="仿宋" w:cs="仿宋"/>
          <w:bCs/>
          <w:sz w:val="32"/>
        </w:rPr>
        <w:t>3. 与外贸管理制度有关的各类证件；</w:t>
      </w:r>
    </w:p>
    <w:p>
      <w:pPr>
        <w:ind w:firstLine="640" w:firstLineChars="200"/>
        <w:rPr>
          <w:rFonts w:hint="eastAsia" w:ascii="仿宋" w:hAnsi="仿宋" w:eastAsia="仿宋" w:cs="仿宋"/>
          <w:bCs/>
          <w:sz w:val="32"/>
        </w:rPr>
      </w:pPr>
      <w:r>
        <w:rPr>
          <w:rFonts w:hint="eastAsia" w:ascii="仿宋" w:hAnsi="仿宋" w:eastAsia="仿宋" w:cs="仿宋"/>
          <w:bCs/>
          <w:sz w:val="32"/>
        </w:rPr>
        <w:t>4. 成交前有关的贸易单证，国际贸易交易有关单证；</w:t>
      </w:r>
    </w:p>
    <w:p>
      <w:pPr>
        <w:ind w:firstLine="640" w:firstLineChars="200"/>
        <w:rPr>
          <w:rFonts w:hint="eastAsia" w:ascii="仿宋" w:hAnsi="仿宋" w:eastAsia="仿宋" w:cs="仿宋"/>
          <w:bCs/>
          <w:sz w:val="32"/>
        </w:rPr>
      </w:pPr>
      <w:r>
        <w:rPr>
          <w:rFonts w:hint="eastAsia" w:ascii="仿宋" w:hAnsi="仿宋" w:eastAsia="仿宋" w:cs="仿宋"/>
          <w:bCs/>
          <w:sz w:val="32"/>
        </w:rPr>
        <w:t>5. 与国际贸易有关的交运货物单证；</w:t>
      </w:r>
    </w:p>
    <w:p>
      <w:pPr>
        <w:ind w:firstLine="640" w:firstLineChars="200"/>
        <w:rPr>
          <w:rFonts w:hint="eastAsia" w:ascii="仿宋" w:hAnsi="仿宋" w:eastAsia="仿宋" w:cs="仿宋"/>
          <w:bCs/>
          <w:sz w:val="32"/>
        </w:rPr>
      </w:pPr>
      <w:r>
        <w:rPr>
          <w:rFonts w:hint="eastAsia" w:ascii="仿宋" w:hAnsi="仿宋" w:eastAsia="仿宋" w:cs="仿宋"/>
          <w:bCs/>
          <w:sz w:val="32"/>
        </w:rPr>
        <w:t>6. 与国际贸易有关的货款单证；</w:t>
      </w:r>
    </w:p>
    <w:p>
      <w:pPr>
        <w:ind w:firstLine="640" w:firstLineChars="200"/>
        <w:rPr>
          <w:rFonts w:hint="eastAsia" w:ascii="仿宋" w:hAnsi="仿宋" w:eastAsia="仿宋" w:cs="仿宋"/>
          <w:bCs/>
          <w:sz w:val="32"/>
        </w:rPr>
      </w:pPr>
      <w:r>
        <w:rPr>
          <w:rFonts w:hint="eastAsia" w:ascii="仿宋" w:hAnsi="仿宋" w:eastAsia="仿宋" w:cs="仿宋"/>
          <w:bCs/>
          <w:sz w:val="32"/>
        </w:rPr>
        <w:t>7. 与国际贸易有关的其他单证。</w:t>
      </w:r>
    </w:p>
    <w:p>
      <w:pPr>
        <w:ind w:firstLine="640" w:firstLineChars="200"/>
        <w:rPr>
          <w:rFonts w:hint="eastAsia" w:ascii="仿宋" w:hAnsi="仿宋" w:eastAsia="仿宋" w:cs="仿宋"/>
          <w:bCs/>
          <w:sz w:val="32"/>
        </w:rPr>
      </w:pPr>
      <w:r>
        <w:rPr>
          <w:rFonts w:hint="eastAsia" w:ascii="仿宋" w:hAnsi="仿宋" w:eastAsia="仿宋" w:cs="仿宋"/>
          <w:bCs/>
          <w:sz w:val="32"/>
        </w:rPr>
        <w:t>（五）外经贸电子数据交换标准：</w:t>
      </w:r>
    </w:p>
    <w:p>
      <w:pPr>
        <w:ind w:firstLine="640" w:firstLineChars="200"/>
        <w:rPr>
          <w:rFonts w:hint="eastAsia" w:ascii="仿宋" w:hAnsi="仿宋" w:eastAsia="仿宋" w:cs="仿宋"/>
          <w:bCs/>
          <w:sz w:val="32"/>
        </w:rPr>
      </w:pPr>
      <w:r>
        <w:rPr>
          <w:rFonts w:hint="eastAsia" w:ascii="仿宋" w:hAnsi="仿宋" w:eastAsia="仿宋" w:cs="仿宋"/>
          <w:bCs/>
          <w:sz w:val="32"/>
        </w:rPr>
        <w:t>1. 综合管理标准；</w:t>
      </w:r>
    </w:p>
    <w:p>
      <w:pPr>
        <w:ind w:firstLine="640" w:firstLineChars="200"/>
        <w:rPr>
          <w:rFonts w:hint="eastAsia" w:ascii="仿宋" w:hAnsi="仿宋" w:eastAsia="仿宋" w:cs="仿宋"/>
          <w:bCs/>
          <w:sz w:val="32"/>
        </w:rPr>
      </w:pPr>
      <w:r>
        <w:rPr>
          <w:rFonts w:hint="eastAsia" w:ascii="仿宋" w:hAnsi="仿宋" w:eastAsia="仿宋" w:cs="仿宋"/>
          <w:bCs/>
          <w:sz w:val="32"/>
        </w:rPr>
        <w:t>2. 外经贸信息分类与代码；</w:t>
      </w:r>
    </w:p>
    <w:p>
      <w:pPr>
        <w:ind w:firstLine="640" w:firstLineChars="200"/>
        <w:rPr>
          <w:rFonts w:hint="eastAsia" w:ascii="仿宋" w:hAnsi="仿宋" w:eastAsia="仿宋" w:cs="仿宋"/>
          <w:bCs/>
          <w:sz w:val="32"/>
        </w:rPr>
      </w:pPr>
      <w:r>
        <w:rPr>
          <w:rFonts w:hint="eastAsia" w:ascii="仿宋" w:hAnsi="仿宋" w:eastAsia="仿宋" w:cs="仿宋"/>
          <w:bCs/>
          <w:sz w:val="32"/>
        </w:rPr>
        <w:t>3. 外经贸软件工程、安全技术、网络管理规范。</w:t>
      </w:r>
    </w:p>
    <w:p>
      <w:pPr>
        <w:ind w:firstLine="640" w:firstLineChars="200"/>
        <w:rPr>
          <w:rFonts w:hint="eastAsia" w:ascii="仿宋" w:hAnsi="仿宋" w:eastAsia="仿宋" w:cs="仿宋"/>
          <w:bCs/>
          <w:sz w:val="32"/>
        </w:rPr>
      </w:pPr>
      <w:r>
        <w:rPr>
          <w:rFonts w:hint="eastAsia" w:ascii="仿宋" w:hAnsi="仿宋" w:eastAsia="仿宋" w:cs="仿宋"/>
          <w:bCs/>
          <w:sz w:val="32"/>
        </w:rPr>
        <w:t>（六）重点商品进出口企业条件和产品质量标准。</w:t>
      </w:r>
    </w:p>
    <w:p>
      <w:pPr>
        <w:ind w:firstLine="640" w:firstLineChars="200"/>
        <w:rPr>
          <w:rFonts w:hint="eastAsia" w:ascii="仿宋" w:hAnsi="仿宋" w:eastAsia="仿宋" w:cs="仿宋"/>
          <w:bCs/>
          <w:sz w:val="32"/>
        </w:rPr>
      </w:pPr>
      <w:r>
        <w:rPr>
          <w:rFonts w:hint="eastAsia" w:ascii="仿宋" w:hAnsi="仿宋" w:eastAsia="仿宋" w:cs="仿宋"/>
          <w:bCs/>
          <w:sz w:val="32"/>
        </w:rPr>
        <w:t>（七）国际货运代理。</w:t>
      </w:r>
    </w:p>
    <w:p>
      <w:pPr>
        <w:ind w:firstLine="640" w:firstLineChars="200"/>
        <w:rPr>
          <w:rFonts w:hint="eastAsia" w:ascii="仿宋" w:hAnsi="仿宋" w:eastAsia="仿宋" w:cs="仿宋"/>
          <w:bCs/>
          <w:sz w:val="32"/>
        </w:rPr>
        <w:sectPr>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163" w:name="_Toc750725799"/>
      <w:r>
        <w:rPr>
          <w:rFonts w:hint="eastAsia" w:ascii="方正小标宋简体" w:hAnsi="方正小标宋简体" w:eastAsia="方正小标宋简体" w:cs="方正小标宋简体"/>
          <w:b w:val="0"/>
          <w:bCs w:val="0"/>
          <w:sz w:val="36"/>
          <w:szCs w:val="36"/>
          <w:lang w:val="en-US" w:eastAsia="zh-CN"/>
        </w:rPr>
        <w:t>商务领域相关标准参考目录</w:t>
      </w:r>
      <w:bookmarkEnd w:id="163"/>
    </w:p>
    <w:p>
      <w:pPr>
        <w:widowControl/>
        <w:autoSpaceDE w:val="0"/>
        <w:autoSpaceDN w:val="0"/>
        <w:spacing w:line="594" w:lineRule="exact"/>
        <w:ind w:firstLine="640"/>
        <w:rPr>
          <w:rFonts w:ascii="仿宋" w:hAnsi="仿宋" w:eastAsia="仿宋" w:cs="仿宋_GB2312"/>
          <w:bCs/>
          <w:color w:val="000000"/>
          <w:sz w:val="32"/>
          <w:szCs w:val="32"/>
        </w:rPr>
      </w:pPr>
      <w:r>
        <w:rPr>
          <w:rFonts w:hint="eastAsia" w:ascii="仿宋" w:hAnsi="仿宋" w:eastAsia="仿宋" w:cs="仿宋_GB2312"/>
          <w:bCs/>
          <w:color w:val="000000"/>
          <w:sz w:val="32"/>
          <w:szCs w:val="32"/>
        </w:rPr>
        <w:t>按照通用基础标准、产品标准、方法标准、技术标准、管理标准、服务标准6个部分分类。</w:t>
      </w:r>
    </w:p>
    <w:p>
      <w:pPr>
        <w:widowControl/>
        <w:autoSpaceDE w:val="0"/>
        <w:autoSpaceDN w:val="0"/>
        <w:spacing w:line="594" w:lineRule="exact"/>
        <w:jc w:val="left"/>
        <w:rPr>
          <w:rFonts w:ascii="黑体" w:hAnsi="黑体" w:eastAsia="黑体" w:cs="黑体"/>
          <w:bCs/>
          <w:color w:val="000000"/>
          <w:sz w:val="32"/>
          <w:szCs w:val="32"/>
        </w:rPr>
      </w:pPr>
      <w:r>
        <w:rPr>
          <w:rFonts w:hint="eastAsia" w:ascii="黑体" w:hAnsi="黑体" w:eastAsia="黑体" w:cs="黑体"/>
          <w:bCs/>
          <w:color w:val="000000"/>
          <w:sz w:val="32"/>
          <w:szCs w:val="32"/>
        </w:rPr>
        <w:t>一、通用基础标准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090"/>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9"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26"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标准号</w:t>
            </w:r>
          </w:p>
        </w:tc>
        <w:tc>
          <w:tcPr>
            <w:tcW w:w="3295"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6388-1986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运输包装收发货标志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6974.14-1986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起重机械名词术语 缆索起重机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6974.15-1986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起重机械名词术语 悬挂单轨系统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6974.17-1986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起重机械名词术语 堆垛起重机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6974.19-1986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起重机械名词术语 集装箱起重机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6974.8-1986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起重机械名词术语 浮式起重机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11708-1989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公路桥梁命名编号和编码规则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1526-1989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信息处理—数据流程图，程序流程图，系统流程图，程序网络图和系统资源图的文件编制符号及约定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918.1-1989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道路车辆分类与代码 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918.2-1989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道路车辆分类与代码 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12462-1990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世界海洋名称代码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14479-1993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传感器图用图形符号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14559-1993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变化量的符号和单位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3101-1993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有关量、单位和符号的一般原则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3102.1-1993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空间和时间的量和单位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3102.2-1993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周期及其有关现象的量和单位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15000.2-1994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标准样品工作导则(2) 标准样品常用术语及定义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15420-1994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国际航运货物装卸费用和船舶租赁方式条款代码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15562.1-1995</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"http://standard.sist.org.cn/StdSearch/stdDetail.aspx?AppID=GB%2015562.1-1995&amp;v=%u56FE%u5F62%24" </w:instrText>
            </w:r>
            <w:r>
              <w:fldChar w:fldCharType="separate"/>
            </w:r>
            <w:r>
              <w:rPr>
                <w:rFonts w:hint="eastAsia" w:ascii="宋体" w:hAnsi="宋体" w:eastAsia="宋体" w:cs="宋体"/>
                <w:color w:val="000000"/>
                <w:kern w:val="0"/>
                <w:sz w:val="18"/>
                <w:szCs w:val="18"/>
              </w:rPr>
              <w:t>环境保护图形标志 排放口(源)</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16158-1996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内河船舶分类与代码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3730.2-1996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道路车辆 质量 词汇和代码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11714-1997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全国组织机构代码编制规则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16827-1997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中国家标准刊号（ISSN部分）条码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17172-1997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四一七条码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7179-1997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铁路货运术语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17271-1998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集装箱运输术语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17272.1-1998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集装箱在船舶上的信息 箱位坐标代码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17272.2-1998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集装箱在船舶上的信息 电传数据代码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9750-1998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涂料产品包装标志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10112-1999</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"http://standard.sist.org.cn/StdSearch/stdDetail.aspx?AppID=GB/T%2010112-1999&amp;v=%u4EA4%20%20%u672F%u8BED$" </w:instrText>
            </w:r>
            <w:r>
              <w:fldChar w:fldCharType="separate"/>
            </w:r>
            <w:r>
              <w:rPr>
                <w:rFonts w:hint="eastAsia" w:ascii="宋体" w:hAnsi="宋体" w:eastAsia="宋体" w:cs="宋体"/>
                <w:color w:val="000000"/>
                <w:kern w:val="0"/>
                <w:sz w:val="18"/>
                <w:szCs w:val="18"/>
              </w:rPr>
              <w:t>术语工作 原则与方法</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12905-2000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出版物物流条码术语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15237.1-2000</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"http://standard.sist.org.cn/StdSearch/stdDetail.aspx?AppID=GB/T%2015237.1-2000&amp;v=%u4EA4%20%20%u672F%u8BED$" </w:instrText>
            </w:r>
            <w:r>
              <w:fldChar w:fldCharType="separate"/>
            </w:r>
            <w:r>
              <w:rPr>
                <w:rFonts w:hint="eastAsia" w:ascii="宋体" w:hAnsi="宋体" w:eastAsia="宋体" w:cs="宋体"/>
                <w:color w:val="000000"/>
                <w:kern w:val="0"/>
                <w:sz w:val="18"/>
                <w:szCs w:val="18"/>
              </w:rPr>
              <w:t>术语工作 词汇 第1部分 理论与应用</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18041-2000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民用航空货物运输术语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18284-2000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快速响应矩阵码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3716-2000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18347-2001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128条码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18366-2001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国际贸易运输船舶名称与代码编制原则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18410-2001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车辆识别代码条码标签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18521-2001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地名分类与类别代码编制规则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20001.1-2001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第1部分: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10342-2002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纸张的包装和标志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12908-2002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三九条码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7027-2002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信息分类和编码的基本原则与方法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7635.1-2002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全国主要产品分类与代码 第1部分：可运输产品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7635.2-2002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全国主要产品分类与代码 第2部分：不可运输产品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10113-2003</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"http://standard.sist.org.cn/StdSearch/stdDetail.aspx?AppID=GB/T%2010113-2003&amp;v=%u4EA4%20%20%u672F%u8BED$" </w:instrText>
            </w:r>
            <w:r>
              <w:fldChar w:fldCharType="separate"/>
            </w:r>
            <w:r>
              <w:rPr>
                <w:rFonts w:hint="eastAsia" w:ascii="宋体" w:hAnsi="宋体" w:eastAsia="宋体" w:cs="宋体"/>
                <w:color w:val="000000"/>
                <w:kern w:val="0"/>
                <w:sz w:val="18"/>
                <w:szCs w:val="18"/>
              </w:rPr>
              <w:t>分类与编码通用术语</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10114-2003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县级以下行政区划代码编制规则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16273.6-2003</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"http://standard.sist.org.cn/StdSearch/stdDetail.aspx?AppID=GB/T%2016273.6-2003&amp;v=%u56FE%u5F62%24" </w:instrText>
            </w:r>
            <w:r>
              <w:fldChar w:fldCharType="separate"/>
            </w:r>
            <w:r>
              <w:rPr>
                <w:rFonts w:hint="eastAsia" w:ascii="宋体" w:hAnsi="宋体" w:eastAsia="宋体" w:cs="宋体"/>
                <w:color w:val="000000"/>
                <w:kern w:val="0"/>
                <w:sz w:val="18"/>
                <w:szCs w:val="18"/>
              </w:rPr>
              <w:t>设备用图形符号 第6部分: 运输、车辆检测及装载机械通用符号</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16829-2003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交插二五条码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19100-2003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术语工作 概念体系的建立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19251-2003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贸易项目的编码与符号表示导则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19391-2003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全球定位系统（GPS）术语及定义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13392-2005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道路运输危险货物车辆标志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5606.2-2005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卷烟 第2部分：包装标识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19946-2005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用于发货、运输和收货标签的一维条码和二维条码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5140-2005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叉车 挂钩型货叉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17273-2006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 设备数据交换（CEDEX）一般通信代码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18354-2006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1992-2006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20000.6-2006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第6部分：标准化良好行为规范 标准化工作指南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20000.7-2006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第7部分：管理体系标准的论证和制定 标准化工作指南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20063.2-2006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简图用图形符号 第2部分：符号的一般应用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20133-2006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道路交通信息采集 信息分类与编码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20776-2006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16828-2007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参与方位置编码与条码表示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20855-2007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航空运输城市地名代码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21049-2007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汉信码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21072-2007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通用仓库等级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12904-2008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零售商品编码与条码表示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2894-2008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安全标志及其使用导则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12906-2008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中国家标准书号条码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12907-2008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库德巴条码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15098-2008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危险货物运输包装类别划分方法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15419-2008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国际集装箱货运交接方式与代码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15421-2008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国际贸易方式代码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15565.1-2008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术语 第1部分：通用 图形符号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16273.1-2008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 第1部分：通用符号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16830-2008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储运包装商品编码与条码表示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16900-2008</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"http://standard.sist.org.cn/StdSearch/stdDetail.aspx?AppID=GB/T%2016900-2008&amp;v=%u56FE%u5F62%24" </w:instrText>
            </w:r>
            <w:r>
              <w:fldChar w:fldCharType="separate"/>
            </w:r>
            <w:r>
              <w:rPr>
                <w:rFonts w:hint="eastAsia" w:ascii="宋体" w:hAnsi="宋体" w:eastAsia="宋体" w:cs="宋体"/>
                <w:color w:val="000000"/>
                <w:kern w:val="0"/>
                <w:sz w:val="18"/>
                <w:szCs w:val="18"/>
              </w:rPr>
              <w:t>图形符号表示规则 总则</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16902.2-2008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设备用图形符号表示规则 第2部分：箭头的形式和使用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16903.1-2008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标志用图形符号表示规则 第1部分：公共信息图形符号的设计原则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17295-2008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国际贸易计量单位代码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18283-2008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店内条码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包装储运图示标志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21335-2008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RSS条码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21394-2008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道路交通信息服务信息分类与编码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22263.1-2008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物流公共信息平台应用开发指南 第1部分：基础术语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22658-2008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流通合作组织分类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22685-2008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家用和类似用途控制器的包装和标志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4122.1-2008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第1部分：基础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5845.2-2008</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"http://standard.sist.org.cn/StdSearch/stdDetail.aspx?AppID=GB/T%205845.2-2008&amp;v=%u56FE%u5F62%24" </w:instrText>
            </w:r>
            <w:r>
              <w:fldChar w:fldCharType="separate"/>
            </w:r>
            <w:r>
              <w:rPr>
                <w:rFonts w:hint="eastAsia" w:ascii="宋体" w:hAnsi="宋体" w:eastAsia="宋体" w:cs="宋体"/>
                <w:color w:val="000000"/>
                <w:kern w:val="0"/>
                <w:sz w:val="18"/>
                <w:szCs w:val="18"/>
              </w:rPr>
              <w:t>城市公共交通标志 第2部分：一般图形符号和安全标志</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5845.4-2008</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"http://standard.sist.org.cn/StdSearch/stdDetail.aspx?AppID=GB/T%205845.4-2008&amp;v=%u56FE%u5F62%24" </w:instrText>
            </w:r>
            <w:r>
              <w:fldChar w:fldCharType="separate"/>
            </w:r>
            <w:r>
              <w:rPr>
                <w:rFonts w:hint="eastAsia" w:ascii="宋体" w:hAnsi="宋体" w:eastAsia="宋体" w:cs="宋体"/>
                <w:color w:val="000000"/>
                <w:kern w:val="0"/>
                <w:sz w:val="18"/>
                <w:szCs w:val="18"/>
              </w:rPr>
              <w:t>城市公共交通标志 第4部分：运营工具、站（码头）和线路图形符号</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6974.1-2008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术语 第1部分：通用术语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8226-2008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190-2009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危险货物包装标志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23254-2009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货车及挂车 车身反光标识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1.1-2021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标准化工作导则 第1部分：标准化文件的结构和起草规则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12366-2009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综合标准化工作指南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13396-2009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中国家标准录音制品编码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16986-2009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应用标识符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17350-2009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专用汽车和专用挂车术语、代号和编制方法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18127-2009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物流单元编码与条码表示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20000.2-2009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标准化工作指南 第2部分：采用国际标准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23508-2009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食品包装容器及材料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23509-2009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食品包装容器及材料 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23559-2009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服装名称代码编制规范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23560-2009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服装分类代码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23791-2009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企业质量信用等级划分通则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23792-2009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信用标准化工作指南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23831-2009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物流信息分类与代码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23832-2009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服务关系编码与条码表示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23833-2009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资产编码与条码表示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24421.1-2009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第1部分：基本要求 服务业组织标准化工作指南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24421.2-2009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第2部分：标准体系 服务业组织标准化工作指南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24421.3-2009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第3部分：标准编写 服务业组织标准化工作指南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24421.4-2009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第4部分：标准实施及评价 服务业组织标准化工作指南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24943-2010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三轮汽车和低速货车用安全标志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10302-2010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中华人民共和国铁路车站代码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12529.5-2010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粮油工业用图形符号、代号 第5部分：仓储工业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14945-2010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货物运输常用残损代码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16273.4-2010</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"http://standard.sist.org.cn/StdSearch/stdDetail.aspx?AppID=GB/T%2016273.4-2010&amp;v=%u56FE%u5F62%24" </w:instrText>
            </w:r>
            <w:r>
              <w:fldChar w:fldCharType="separate"/>
            </w:r>
            <w:r>
              <w:rPr>
                <w:rFonts w:hint="eastAsia" w:ascii="宋体" w:hAnsi="宋体" w:eastAsia="宋体" w:cs="宋体"/>
                <w:color w:val="000000"/>
                <w:kern w:val="0"/>
                <w:sz w:val="18"/>
                <w:szCs w:val="18"/>
              </w:rPr>
              <w:t>设备用图形符号 第4部分：带有箭头的符号</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16962-2010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国际贸易付款方式分类与代码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16963-2010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国际贸易合同代码编制规则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18126-2010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国际贸易付款条款的缩略语（PAYTERMS）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18131-2010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国际贸易用标准化运输标志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18455-2010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包装回收标志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18804-2010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运输工具类型代码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22970-2010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纺织面料编码 化纤部分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24948-2010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三轮汽车和低速货车 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25069-2010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25109.1-2010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企业资源计划 第1部分：ERP术语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25159-2010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非危险货物用中型散装容器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25195.1-2010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图形符号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25195.2-2010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图形符号 第2部分：流动式起重机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25195.3-2010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图形符号 第3部分：塔式起重机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25209-2010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商品煤标识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25896.1-2010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 起重机 第1部分：通用符号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25896.2-2010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 起重机 第2部分：流动式起重机符号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25896.3-2010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 起重机 第3部分：塔式起重机符号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26315-2010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市场、民意和社会调查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4122.2-2010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第2部分：机械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4122.3-2010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第3部分：防护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4122.4-2010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第4部分：材料与容器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4122.5-2010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第5部分: 检验与试验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4122.6-2010</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包装术语 第6部分：印刷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15269.2-2011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雪茄烟 第2部分：包装标识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10001.3-2011</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"http://standard.sist.org.cn/StdSearch/stdDetail.aspx?AppID=GB/T%2010001.3-2011&amp;v=%u56FE%u5F62%24" </w:instrText>
            </w:r>
            <w:r>
              <w:fldChar w:fldCharType="separate"/>
            </w:r>
            <w:r>
              <w:rPr>
                <w:rFonts w:hint="eastAsia" w:ascii="宋体" w:hAnsi="宋体" w:eastAsia="宋体" w:cs="宋体"/>
                <w:color w:val="000000"/>
                <w:kern w:val="0"/>
                <w:sz w:val="18"/>
                <w:szCs w:val="18"/>
              </w:rPr>
              <w:t>标志用公共信息图形符号 第3部分:客运货运符号</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10757-2011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邮政业术语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15624-2011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16833-2011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26337.2-2011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供应链管理 第2部分：SCM术语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26632-2011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粮油名词术语 粮油仓储设备与设施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26819-2011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信用主体标识规范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26820-2011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物流服务分类与编码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27766-2011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二维条码 网格矩阵码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27767-2011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二维条码 紧密矩阵码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27916-2011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百货店等级划分及评定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27917.1-2011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快递服务 第1部分：基本术语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27923-2011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物流作业货物分类和代码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28119-2011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食品包装用纸、纸板及纸制品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28222-2011</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"http://standard.sist.org.cn/StdSearch/stdDetail.aspx?AppID=GB/T%2028222-2011&amp;v=%u670D%u52A1$" </w:instrText>
            </w:r>
            <w:r>
              <w:fldChar w:fldCharType="separate"/>
            </w:r>
            <w:r>
              <w:rPr>
                <w:rFonts w:hint="eastAsia" w:ascii="宋体" w:hAnsi="宋体" w:eastAsia="宋体" w:cs="宋体"/>
                <w:color w:val="000000"/>
                <w:kern w:val="0"/>
                <w:sz w:val="18"/>
                <w:szCs w:val="18"/>
              </w:rPr>
              <w:t>服务标准编写通则</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6944-2012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危险货物分类和品名编号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10001.1-2012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公共信息图形符号 第1部分：通用符号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18811-2012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电子商务基本术语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28479-2012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国际贸易单证分类与代码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28532-2012  </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承运人标识符编码规则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28829-2012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超市等级划分要求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28830-2012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特许经营术语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29100-2012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道路交通信息服务 交通事件分类与编码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29105-2012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道路交通信息服务 浮动车数据编码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29184-2012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物流单证分类与编码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29185-2012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品牌价值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29261.3-2012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自动识别和数据采集技术 词汇 第3部分：射频识别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29261.4-2012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自动识别和数据采集技术 词汇 第4部分：无线电通信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6512-2012</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运输方式代码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16472-2013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乘客及货物类型、包装类型和包装材料类型代码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16902.3-2013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设备用图形符号表示规则 第3部分：应用导则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23694-2013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风险管理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29744-2013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道路交通信息服务 道路编码规则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30226-2013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服务业标准体系编写指南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30342-2013</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10001.10-2014</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"http://standard.sist.org.cn/StdSearch/stdDetail.aspx?AppID=GB/T%2010001.10-2014&amp;v=%u56FE%u5F62%24" </w:instrText>
            </w:r>
            <w:r>
              <w:fldChar w:fldCharType="separate"/>
            </w:r>
            <w:r>
              <w:rPr>
                <w:rFonts w:hint="eastAsia" w:ascii="宋体" w:hAnsi="宋体" w:eastAsia="宋体" w:cs="宋体"/>
                <w:color w:val="000000"/>
                <w:kern w:val="0"/>
                <w:sz w:val="18"/>
                <w:szCs w:val="18"/>
              </w:rPr>
              <w:t>公共信息图形符号 第10部分：通用符号要素</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15425-2014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商品条码128条码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20000.1-2014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第1部分：标准化和相关活动的通用术语 标准化工作指南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20000.3-2014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第3部分：引用文件 标准化工作指南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20000.8-2014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第8部分：阶段代码系统的使用原则和指南 标准化工作指南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20000.9-2014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第9部分：采用其他国际标准化文件 标准化工作指南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20001.10-2014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第10部分：产品标准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29261.5-2014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自动识别和数据采集技术 词汇 第5部分：定位系统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30539-2014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国际贸易业务人员商务外语能力标识规范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30676-2014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应急物资投送包装及标识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30699-2014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道路交通标志编码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31003-2014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化纤物品物流单元编码与条码表示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31005-2014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托盘编码及条码表示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31006-2014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自动分拣过程包装物品条码规范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31007.1-2014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纺织面料编码 第1部分：棉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31007.2-2014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纺织面料编码 第2部分：麻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31007.4-2014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纺织面料编码 第4部分：毛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31152-2014</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汽车物流术语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13495.1-2015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消防安全标志 第1部分：标志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32100-2015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法人和其他组织统一社会信用代码编码规则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"http://www.cnnbzj.com/cn/bzahmjs/Detail_88a6b8be8497451e89ade9a4892fafa4.html" </w:instrText>
            </w:r>
            <w:r>
              <w:fldChar w:fldCharType="separate"/>
            </w:r>
            <w:r>
              <w:rPr>
                <w:rFonts w:hint="eastAsia" w:ascii="宋体" w:hAnsi="宋体" w:eastAsia="宋体" w:cs="宋体"/>
                <w:color w:val="000000"/>
                <w:kern w:val="0"/>
                <w:sz w:val="18"/>
                <w:szCs w:val="18"/>
              </w:rPr>
              <w:t>GB/T 15514-2015</w:t>
            </w:r>
            <w:r>
              <w:rPr>
                <w:rFonts w:hint="eastAsia" w:ascii="宋体" w:hAnsi="宋体" w:eastAsia="宋体" w:cs="宋体"/>
                <w:color w:val="000000"/>
                <w:kern w:val="0"/>
                <w:sz w:val="18"/>
                <w:szCs w:val="18"/>
              </w:rPr>
              <w:fldChar w:fldCharType="end"/>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"http://www.cnnbzj.com/cn/bzahmjs/Detail_88a6b8be8497451e89ade9a4892fafa4.html" </w:instrText>
            </w:r>
            <w:r>
              <w:fldChar w:fldCharType="separate"/>
            </w:r>
            <w:r>
              <w:rPr>
                <w:rFonts w:hint="eastAsia" w:ascii="宋体" w:hAnsi="宋体" w:eastAsia="宋体" w:cs="宋体"/>
                <w:color w:val="000000"/>
                <w:kern w:val="0"/>
                <w:sz w:val="18"/>
                <w:szCs w:val="18"/>
              </w:rPr>
              <w:t>中华人民共和国口岸及相关地点代码</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20001.2-2015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第2部分：符号标准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20001.3-2015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第3部分：分类标准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20001.3-2015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第3部分：分类标准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20001.4-2015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第4部分：试验方法标准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31775-2015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中药在供应链管理中的编码与表示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31783-2015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商用木材与木制品标识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31866-2015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物品编码Ecode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31951-2015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电子商务信用 网络交易信用主体分类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32007-2015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汽车零部件的统一编码与标识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32139-2015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棉花加工术语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32152-2015</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"http://standard.sist.org.cn/StdSearch/stdDetail.aspx?AppID=GB/T%2032152-2015&amp;v=%u670D%u52A1$" </w:instrText>
            </w:r>
            <w:r>
              <w:fldChar w:fldCharType="separate"/>
            </w:r>
            <w:r>
              <w:rPr>
                <w:rFonts w:hint="eastAsia" w:ascii="宋体" w:hAnsi="宋体" w:eastAsia="宋体" w:cs="宋体"/>
                <w:color w:val="000000"/>
                <w:kern w:val="0"/>
                <w:sz w:val="18"/>
                <w:szCs w:val="18"/>
              </w:rPr>
              <w:t>科技服务业分类</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32374-2015</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化学品危险信息短语与代码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"http://www.cnnbzj.com/cn/bzahmjs/Detail_8614466b0bf34a1b85dcc9338882c7dd.html" </w:instrText>
            </w:r>
            <w:r>
              <w:fldChar w:fldCharType="separate"/>
            </w:r>
            <w:r>
              <w:rPr>
                <w:rFonts w:hint="eastAsia" w:ascii="宋体" w:hAnsi="宋体" w:eastAsia="宋体" w:cs="宋体"/>
                <w:color w:val="000000"/>
                <w:kern w:val="0"/>
                <w:sz w:val="18"/>
                <w:szCs w:val="18"/>
              </w:rPr>
              <w:t>GB/T 7407-2015</w:t>
            </w:r>
            <w:r>
              <w:rPr>
                <w:rFonts w:hint="eastAsia" w:ascii="宋体" w:hAnsi="宋体" w:eastAsia="宋体" w:cs="宋体"/>
                <w:color w:val="000000"/>
                <w:kern w:val="0"/>
                <w:sz w:val="18"/>
                <w:szCs w:val="18"/>
              </w:rPr>
              <w:fldChar w:fldCharType="end"/>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"http://www.cnnbzj.com/cn/bzahmjs/Detail_8614466b0bf34a1b85dcc9338882c7dd.html" </w:instrText>
            </w:r>
            <w:r>
              <w:fldChar w:fldCharType="separate"/>
            </w:r>
            <w:r>
              <w:rPr>
                <w:rFonts w:hint="eastAsia" w:ascii="宋体" w:hAnsi="宋体" w:eastAsia="宋体" w:cs="宋体"/>
                <w:color w:val="000000"/>
                <w:kern w:val="0"/>
                <w:sz w:val="18"/>
                <w:szCs w:val="18"/>
              </w:rPr>
              <w:t>中国及世界主要海运贸易港口代码</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19583-2016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涉外收支交易分类与代码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20000.10-2016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第10部分：国家标准的英文译本翻译通则 标准化工作指南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20000.11-2016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第11部分：国家标准的英文译本通用表述 标准化工作指南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27203-2016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合格评定 用于人员认证的人员能力词汇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32875-2016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电子商务参与方分类与编码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32950-2016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鲜活农产品标签标识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33452-2016</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16902.1-2017</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"http://standard.sist.org.cn/StdSearch/stdDetail.aspx?AppID=GB/T%2016902.1-2017&amp;v=%u56FE%u5F62%24" </w:instrText>
            </w:r>
            <w:r>
              <w:fldChar w:fldCharType="separate"/>
            </w:r>
            <w:r>
              <w:rPr>
                <w:rFonts w:hint="eastAsia" w:ascii="宋体" w:hAnsi="宋体" w:eastAsia="宋体" w:cs="宋体"/>
                <w:color w:val="000000"/>
                <w:kern w:val="0"/>
                <w:sz w:val="18"/>
                <w:szCs w:val="18"/>
              </w:rPr>
              <w:t>设备用图形符号表示规则 第1部分：符号原图的设计原则</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16902.5-2017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设备用图形符号表示规则 第5部分：图标的设计指南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1836-2017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集装箱代码、识别与标记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20001.5-2017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第5部分：规范标准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20001.6-2017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第6部分：规程标准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20001.7-2017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标准编写规则 第7部分：指南标准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33529-2017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人力资源服务术语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33892-2017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木材物流规划设计符号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34401-2017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商业网点分类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34431-2017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库存积压商品流通术语和分类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34432-2017</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"http://standard.sist.org.cn/StdSearch/stdDetail.aspx?AppID=GB/T%2034432-2017&amp;v=%u670D%u52A1$" </w:instrText>
            </w:r>
            <w:r>
              <w:fldChar w:fldCharType="separate"/>
            </w:r>
            <w:r>
              <w:rPr>
                <w:rFonts w:hint="eastAsia" w:ascii="宋体" w:hAnsi="宋体" w:eastAsia="宋体" w:cs="宋体"/>
                <w:color w:val="000000"/>
                <w:kern w:val="0"/>
                <w:sz w:val="18"/>
                <w:szCs w:val="18"/>
              </w:rPr>
              <w:t>售后服务基本术语</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34433-2017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商业网点规划术语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35130-2017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面向食品制造业的射频识别系统 射频标签信息与编码规范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35182-2017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环保领跑者标识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35408-2017</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"http://standard.sist.org.cn/StdSearch/stdDetail.aspx?AppID=GB/T%2035408-2017&amp;v=%u8D28%u91CF%20%20%u672F%u8BED$" </w:instrText>
            </w:r>
            <w:r>
              <w:fldChar w:fldCharType="separate"/>
            </w:r>
            <w:r>
              <w:rPr>
                <w:rFonts w:hint="eastAsia" w:ascii="宋体" w:hAnsi="宋体" w:eastAsia="宋体" w:cs="宋体"/>
                <w:color w:val="000000"/>
                <w:kern w:val="0"/>
                <w:sz w:val="18"/>
                <w:szCs w:val="18"/>
              </w:rPr>
              <w:t>电子商务质量管理术语</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35416-2017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35425-2017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公路及桥梁施工用大宗物资分类编码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35429-2017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质量技术服务分类与代码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35649-2017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突发事件应急标绘符号规范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35738-2017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物流仓储配送中心输送、分拣及辅助设备 分类和术语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35778-2017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企业标准化工作 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35789.1-2017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机动车电子标识通用规范 第1部分：汽车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6420-2017</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货运挂车系列型谱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13016-2018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标准体系构建原则和要求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13017-2018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企业标准体系表编制指南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22117-2018</w:t>
            </w:r>
          </w:p>
        </w:tc>
        <w:tc>
          <w:tcPr>
            <w:tcW w:w="3295"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"http://standard.sist.org.cn/StdSearch/stdDetail.aspx?AppID=GB/T%2022117-2018&amp;v=%u4EA4%20%20%u672F%u8BED$" </w:instrText>
            </w:r>
            <w:r>
              <w:fldChar w:fldCharType="separate"/>
            </w:r>
            <w:r>
              <w:rPr>
                <w:rFonts w:hint="eastAsia" w:ascii="宋体" w:hAnsi="宋体" w:eastAsia="宋体" w:cs="宋体"/>
                <w:color w:val="000000"/>
                <w:kern w:val="0"/>
                <w:sz w:val="18"/>
                <w:szCs w:val="18"/>
              </w:rPr>
              <w:t>信用 基本术语</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36157-2018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民用飞机货舱公共信息标识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36193-2018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水产品加工术语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36596-2018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国际贸易商业发票标识符编制规则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36687-2018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保险术语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4797.1-2018</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环境条件分类 自然环境条件 温度和湿度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37341-2019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铁路行包运输分类与代码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37375-2019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 物联网标识规则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37377-2019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 物联网标识应用分类及编码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37710-2019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粮食物流名词术语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37719.1-2019</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储粮害虫检验辅助图谱 第1部分:拟步甲科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18106-2021</w:t>
            </w:r>
          </w:p>
        </w:tc>
        <w:tc>
          <w:tcPr>
            <w:tcW w:w="3295"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零售业态分类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10006-1992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冷冻饮品术语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10034-1992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茶叶加工技术术语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10135-1992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社会商业商品分类与代码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10171-1993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腐乳分类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10172-1993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酱的分类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10173-1993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酱油分类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10174-1993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食醋的分类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10333-2000</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连锁超级市场、便利店管理通用要求 术语规范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SBJ/T 13-2000</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商品流通基础设施分类及规模划分标准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10376-2004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饼店分等定级规定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10383-2004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商用木材及其制品标志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10454-2008</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小商品分类与代码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10465-2008</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连锁经营术语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10466-2008</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散装水泥流通术语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10544-2009</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木材节约代用品分类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10565-2010</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10566-2010</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沐浴业态分类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10638-2011</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鲜鸡蛋、鲜鸭蛋分级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10639-2011</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蛋与蛋制品分类与代码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10642-2011</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商业特许经营业种分类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10029-2012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新鲜蔬菜分类与代码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10158-2012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新鲜蔬菜包装与标识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10345.1-2012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制冷系统和热泵 安全和环境要求 第1部分：基本要求、定义和分类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10680-2012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肉类蔬菜流通追溯体系编码规则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10693-2012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网络购物术语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10710-2012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酒类产品流通术语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10722-2012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生产资料流通术语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10758-2012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红木商用名称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10759-2012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红木制品等级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10771-2012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基于射频识别的瓶装酒追溯与防伪应用数据编码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10783-2012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10794.1-2012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商用冷柜 第1部分：术语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10812-2012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超市商品基本分类规范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10844-2012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木门企业等级划分规范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10846-2012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物流仓库货架储位编码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10847-2012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家政服务业通用术语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10900-2012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废玻璃分类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10901-2012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废电池分类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10945-2012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火锅店分等定级规定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10950-2012</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人造板经销商等级划分规范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10191-1993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生漆术语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10545-2013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模板脚手架租赁企业等级划分规范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11018-2013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美发美容企业星级划分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11024-2013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新鲜水果分类与代码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11038-2013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中药材流通追溯体系专用术语规范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11039-2013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中药材追溯通用标识规范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11058-2013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废纸分类等级规范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11072-2013</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茶馆等级划分与评定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11080-2014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单用途商业预付卡术语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11084-2014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便利店分类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11087-2014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购物中心等级划分规范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11098.1-2014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鲜切花拍卖产品质量等级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11098.2-2014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鲜切花拍卖产品质量等级 第2部分：单头月季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11098.3-2014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鲜切花拍卖产品质量等级 第3部分：非洲菊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11098.4-2014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鲜切花拍卖产品质量等级 第4部分：单头香石竹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11103-2014</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木地板企业等级划分规范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11122-2015</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进口葡萄酒相关术语翻译规范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11127-2015</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木材与木制品交易市场等级划分规范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11131-2015</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典当术语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11161-2016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展览器材 术语 型材展台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11173-2016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中药材商品规格等级通则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11174.1-2016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中药材商品规格等级 第1部分：白术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11174.2-2016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中药材商品规格等级 第2部分：太子参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11174.3-2016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中药材商品规格等级 第3部分：三七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11174.4-2016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中药材商品规格等级 第4部分：厚朴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11174.5-2016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中药材商品规格等级 第5部分：大黄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326</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11175-2016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农业机械流通术语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327</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11176-2016</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废弃电器电子产品分类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10958-2017</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配饰商品术语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329</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11187-2017</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帽子分类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11206-2017</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流通业商品分类与代码编制要求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331</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11207-2017</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流通业商品分类与代码——软饮料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332</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11208-2017</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流通业商品分类与代码——食用油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333</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10641-2018</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拍卖术语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334</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11215-2018</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商品交易市场建设与经营管理术语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335</w:t>
            </w:r>
          </w:p>
        </w:tc>
        <w:tc>
          <w:tcPr>
            <w:tcW w:w="1226"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 1-1999</w:t>
            </w:r>
          </w:p>
        </w:tc>
        <w:tc>
          <w:tcPr>
            <w:tcW w:w="3295"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中华人民共和国进出口企业代码规范</w:t>
            </w:r>
          </w:p>
        </w:tc>
      </w:tr>
    </w:tbl>
    <w:p>
      <w:pPr>
        <w:widowControl/>
        <w:autoSpaceDE w:val="0"/>
        <w:autoSpaceDN w:val="0"/>
        <w:spacing w:line="594" w:lineRule="exact"/>
        <w:jc w:val="left"/>
        <w:rPr>
          <w:rFonts w:ascii="黑体" w:hAnsi="黑体" w:eastAsia="黑体" w:cs="黑体"/>
          <w:bCs/>
          <w:color w:val="000000"/>
          <w:sz w:val="32"/>
          <w:szCs w:val="32"/>
        </w:rPr>
      </w:pPr>
      <w:r>
        <w:rPr>
          <w:rFonts w:hint="eastAsia" w:ascii="黑体" w:hAnsi="黑体" w:eastAsia="黑体" w:cs="黑体"/>
          <w:bCs/>
          <w:color w:val="000000"/>
          <w:sz w:val="32"/>
          <w:szCs w:val="32"/>
        </w:rPr>
        <w:t>二、产品标准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125"/>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9"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47"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标准号</w:t>
            </w:r>
          </w:p>
        </w:tc>
        <w:tc>
          <w:tcPr>
            <w:tcW w:w="3274"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6550-1986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信息处理交换用9磁道12.7米宽63调相制记录磁带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10486-1989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铁路货运钢制平托盘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15234-1994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塑料平托盘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15267-1994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食品包装用聚氯乙烯硬片、膜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5737-1995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食品塑料周转箱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5738-1995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瓶装酒、饮料塑料周转箱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18832-2002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箱式、立柱式托盘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18928-2002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托盘缠绕裹包机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18240.1-2003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税控收款机 第1部分:机器规范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18240.3-2003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税控收款机 第3部分: 税控器规范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18240.4-2004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税控收款机 第4部分:银行卡受理设备规范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18240.6-2004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税控收款机 第6部分:设备编码规则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19450-2004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纸基平托盘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18240.5-2005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税控收款机 第5部分：税控打印机规范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19683-2005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轨道式集装箱门式起重机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19741-2005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液体食品包装用塑料复合膜、袋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19787-2005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包装材料 聚烯烃热收缩薄膜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19790.2-2005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一次性筷子 第2部分:竹筷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19820-2005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液压棉花打包机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20077-2006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一次性托盘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7740-2006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天然肠衣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21145-2007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运输用制冷机组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21278-2007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血液冷藏箱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18191-2008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包装容器 危险品包装用塑料桶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19160-2008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包装容器 危险品包装用塑料罐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13144-2008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包装容器 竹胶合板箱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1413-2008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系列1集装箱 分类、尺寸和额定质量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17030-2008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食品包装用聚偏二氯乙烯（PVDC）片状肠衣膜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17552-2008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识别卡 金融交易卡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17913-2008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磷化氢环流熏蒸装备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18192-2008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液体食品无菌包装用纸基复合材料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18706-2008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液体食品保鲜包装用纸基复合材料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19410-2008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螺杆式制冷压缩机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21530-2008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棉花打包用镀锌钢丝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21943-2008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钢纸砂盘支撑托盘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22102-2008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防腐木材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22664-2008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手持式电动工具 石材切割机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6543-2008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运输包装用单瓦楞纸箱和双瓦楞纸箱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14783-2009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轮胎式集装箱门式起重机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23183-2009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辣椒粉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23898-2009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木质平托盘用人造板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24570-2009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无菌袋成型灌装封口机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24695-2009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食品包装用玻璃纸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24696-2009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食品包装用羊皮纸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24709-2009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收缩包装机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24904-2010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粮食包装 麻袋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24905-2010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粮食包装 小麦粉袋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26199-2010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医用包装原纸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14405-2011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通用桥式起重机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14406-2011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通用门式起重机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26945-2011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集装箱空箱堆高机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26947-2011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手动托盘搬运车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26959-2011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26960-2011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半自动捆扎机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27543-2011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手推升降平台搬运车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27915-2011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组合式塑料托盘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28117-2011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食品包装用多层共挤膜、袋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28762-2012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数控剪板机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29019-2012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透明膜折叠式裹包机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29346-2012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卧式枕型接缝式裹包机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6440-2012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山羊板皮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16717-2013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包装容器 重型瓦楞纸箱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20154-2014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低温保存箱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24797.2-2014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橡胶包装用薄膜 第2部分：天然橡胶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30672-2014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模压平托盘 植物纤维类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30675-2014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阁楼式货架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31081-2014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塑料箱式托盘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31122-2014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液体食品包装用纸板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31148-2014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联运通用平托盘 木质平托盘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11885-2015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自动轨道衡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31550-2015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冷链运输包装用低温瓦楞纸箱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32054-2015 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电子元器件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32340-2015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棉花包装 聚酯捆扎带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33320-2016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食品包装材料和容器用胶粘剂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33471-2016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全自动纸板袖套式裹包机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型钢验收、包装、标志及质量证明书的一般规定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33884-2017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重载货运列车用铝合金型材及厢块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34380-2017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数控激光切割机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35145-2017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冷链温度记录仪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35594-2017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医用包装纸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35739-2017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物流仓储配送中心成件物品连续垂直输送机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16606.1-2018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快递封装用品 第1部分：封套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16606.2-2018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快递封装用品 第2部分：包装箱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16606.3-2018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快递封装用品 第3部分：包装袋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18240.2-2018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税控收款机 第2部分：税控IC卡规范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18924-2018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钢丝捆扎箱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21489-2018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散粮汽车卸车装置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22344-2018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包装用聚酯捆扎带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26136-2018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超高压水切割机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36235-2018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机械式自动捆扎机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36236-2018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热熔胶贴标机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36392-2018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食品包装用淋膜纸和纸板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18454-2019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液体食品无菌包装用复合袋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27542-2019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蓄电池托盘搬运车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38849-2020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绿色商场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10004-1992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中国火腿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10025-1992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菜豆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10038-1992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10046-1992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籽棉清理机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10050-1992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糖莲子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10057-1992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山楂糕、条、片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10058-1992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猕猴桃酱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10059-1992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山楂酱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10088-1992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苹果酱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10090-1992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10096-1992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蜂胶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10159-1993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10168-1993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闽烘青绿茶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10190-1993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蜂蜡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10195-1993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冬瓜条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10205-1994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打气筒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10274-1996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饲料显微镜检查图谱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10284-1997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薄型雨衣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10332-2000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10377-2004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10402-2006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代可可脂巧克力及代可可脂巧克力制品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10407-2007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丝素与丝胶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10413-2007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雪花冰制冰机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10414-2007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片冰制冰机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10430-2007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食品冷冻真空干燥设备 间歇式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10461-2008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干混砂浆散装移动筒仓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10533-2009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船用片冰机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10534-2009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板冰制冰机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10535-2009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管冰制冰机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10546-2009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散装干混砂浆运输车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10561-2010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散装水泥罐式集装箱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10569-2010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冷藏库门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10742-2012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多回程干砂滚筒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10743-2012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焊接式散装水泥钢板筒仓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10744-2012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螺旋卷边式散装水泥钢板筒仓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果蔬真空预冷机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熟食品真空冷却机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冷饮预调机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冷饮现调机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10794.3-2012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商用冷柜 第3部分：饮料冷藏陈列柜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室内装配式冷库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速冻龙虾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10929-2012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气调库专用设备 乙烯脱除机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气调库专用设备 二氧化碳脱除机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气调库专用设备 中空纤维膜制氮机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气调库专用设备 分子筛脱氧机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气调试验箱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10940-2012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商用制冰机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实木复合门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木地板清洁剂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装饰薄木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丝绸床上用品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饲料用桑叶粉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蚕沙肥料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家用和类似用途电器的安全 商用制冰机的特殊要求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快速冷却柜和快速冻结柜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11093-2014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中央储备 冻卷羊肉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11124-2015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肉类蔬菜流通追溯零售电子秤通用规范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11125-2015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肉类蔬菜流通追溯手持读写终端通用规范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11126-2015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肉类蔬菜流通追溯批发自助交易终端通用规范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11135-2015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WM/T 2-2004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药用植物及制剂外经贸绿色行业标准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WM/T 3-2004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贯叶连翘提取物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WM/T 4-2004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当归提取物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WM/T 5-2004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枳实提取物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WM/T 6-2004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红车轴草提取物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WM/T 7-2004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缬草提取物</w:t>
            </w:r>
          </w:p>
        </w:tc>
      </w:tr>
    </w:tbl>
    <w:p>
      <w:pPr>
        <w:widowControl/>
        <w:autoSpaceDE w:val="0"/>
        <w:autoSpaceDN w:val="0"/>
        <w:spacing w:line="594" w:lineRule="exact"/>
        <w:jc w:val="left"/>
        <w:rPr>
          <w:rFonts w:ascii="仿宋" w:hAnsi="仿宋" w:eastAsia="仿宋" w:cs="仿宋_GB2312"/>
          <w:bCs/>
          <w:color w:val="000000"/>
          <w:sz w:val="32"/>
          <w:szCs w:val="32"/>
        </w:rPr>
      </w:pPr>
      <w:r>
        <w:rPr>
          <w:rFonts w:hint="eastAsia" w:ascii="黑体" w:hAnsi="黑体" w:eastAsia="黑体" w:cs="黑体"/>
          <w:bCs/>
          <w:color w:val="000000"/>
          <w:sz w:val="32"/>
          <w:szCs w:val="32"/>
        </w:rPr>
        <w:t>三、方法标准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5"/>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9"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47"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标准号</w:t>
            </w:r>
          </w:p>
        </w:tc>
        <w:tc>
          <w:tcPr>
            <w:tcW w:w="3274"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12267-1990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船用导航设备通用要求和试验方法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13503-1992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信息处理—程序构造及其表示的约定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16905-1997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集装箱正面吊运起重机试验方法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4857.22-1998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运输包装件 单元货物稳定性试验方法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18322-2002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农用运输车自由加速烟度排放限值及测量方法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18805-2002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商品条码印刷适性试验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19136-2003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农药热贮稳定性测定方法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6379.2-2004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测量方法与结果的准确度(正确度与精密度) 第2部分：确定标准测量方法重复性与再现性的基本方法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11605-2005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湿度测量方法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19912-2005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轮胎式集装箱门式起重机安全规程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12475-2006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农药贮运、销售和使用的防毒规程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6379.4-2006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测量方法与结果的准确度（正确度与精密度） 第4部分：确定标准测量方法正确度的基本方法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11341-2008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悬挂输送机安全规程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17440-2008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粮食加工、储运系统粉尘防爆安全规程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17992-2008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集装箱正面吊运起重机安全规程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18348-2008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条码符号印制质量的检验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22184-2008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谷物和豆类 散存粮食温度测定指南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5182-2008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叉车 货叉 技术要求和试验方法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15912.1-2009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制冷机组及供制冷系统节能测试 第1部分：冷库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47"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21000.1-2007</w:t>
            </w:r>
          </w:p>
        </w:tc>
        <w:tc>
          <w:tcPr>
            <w:tcW w:w="3274"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商用冷藏柜 试验方法 第1部分：通用试验条件及温度试验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47"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21000.2-2007</w:t>
            </w:r>
          </w:p>
        </w:tc>
        <w:tc>
          <w:tcPr>
            <w:tcW w:w="3274"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商用冷藏柜 试验方法 第2部分: 偶然机械性接触试验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25480-2010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仪器仪表运输、贮存基本环境条件及试验方法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26227-2010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自动识别与数据采集技术 条码原版胶片测试规范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6067.1-2010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起重机械安全规程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26773-2011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智能运输系统 车道偏离报警系统 性能要求与检测方法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26946.2-2011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侧面式叉车 第2部分：搬运6m及其以上长度货运集装箱叉车的附加稳定性试验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26949.10-2011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工业车辆 稳定性验证 第10部分：在由动力装置侧移载荷条件下堆垛作业的附加稳定性试验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28668-2012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粮食烘干安全操作规程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28926-2012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射频识别 2.45GHz空中接口符合性测试方法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29268.2-2012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生物特征识别性能测试和报告 第2部分：技术与场景评价的测试方法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29272-2012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射频识别设备性能测试方法 系统性能测试方法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29374-2012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谷物冷却机应用技术规程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29379-2012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马铃薯脱毒种薯贮藏、运输技术规程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6379.3-2012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测量方法与结果的准确度(正确度与精密度) 第3部分：标准测量方法精密度的中间度量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29753-2013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 食品与生物制品冷藏车 安全要求及试验方法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30103.1-2013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冷库热工性能试验方法 第1部分：温度和湿度检测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30103.2-2013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冷库热工性能试验方法 第2部分：风速检测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30103.3-2013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冷库热工性能试验方法 第3部分：围护结构热流量检测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31101-2014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自动识别和数据采集技术 实时定位系统性能测试方法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4995-2014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联运通用平托盘 性能要求和试验选择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4996-2014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联运通用平托盘 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6067.5-2014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起重机械安全规程 第5部分：桥式和门式起重机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13873-2015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道路车辆 货运挂车试验方法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31575-2015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马铃薯商品薯质量追溯体系的建立与实施规程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26949.21-2016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工业车辆 稳定性验证 第21部分：操作者位置起升高度大于1 200mm的拣选车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26949.4-2016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工业车辆 稳定性验证 第4部分：托盘堆垛车、双层堆垛车和操作者位置起升 高度不大于1200mm的拣选车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26949.8-2016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工业车辆 稳定性验证 第8部分：在门架前倾和载荷起升条件下堆垛作业的附加稳定性试验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33129-2016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新鲜水果、蔬菜包装和冷链运输通用操作规程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5398-2016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大型运输包装件试验方法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26949.9-2018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工业车辆 稳定性验证 第9部分：搬运6 m及其以上长度货运集装箱的平衡重式叉车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36854-2018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集装箱熏蒸操作规程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37099-2018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绿色物流指标构成与核算方法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37229-2018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公共服务效果测评模型和方法指南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37243-2019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危险化学品生产装置和储存设施外部安全防护距离确定方法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10157-1993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茶叶感官审评方法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10229-1994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豆制品理化检验方法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10389-2004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肉与肉制品中山梨酸的测定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SBJ 14-2007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氢氯氟烃、氢氟烃类制冷系统安装工程施工及验收规范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10463-2008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猪肺炎支原体检验方法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10500-2008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饲料中土霉素的测定—高效液相色谱法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10343-2012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蓄冷设备的性能标定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10778-2012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动物饲料中莱克多巴胺的快速筛查  胶体金免疫层析法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动物饲料中盐酸克伦特罗的快速筛查  胶体金免疫层析法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10794.2-2012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商用冷柜 第2部分：分类、要求和试验条件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强制通风与自然对流空气冷却器的试验方法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远置式机械通风蒸发式制冷剂冷凝器试验室试验方法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10921-2012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饲料中氨苯砷酸、4-羟基苯胂酸、洛克沙胂、硝苯胂酸的测定 液相色谱-电感耦合等离子体质谱法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10928-2012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易腐食品冷藏链温度检测方法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10941-2012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自动制冰机试验方法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基于射频识别的瓶装酒追溯与防伪标签测试规范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基于射频识别的瓶装酒追溯与防伪读写器测试规范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基于射频识别的瓶装酒追溯与防伪设备互操作测试规范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11092-2014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多温冷藏运输装备技术要求及测试方法</w:t>
            </w:r>
          </w:p>
        </w:tc>
      </w:tr>
    </w:tbl>
    <w:p>
      <w:pPr>
        <w:widowControl/>
        <w:autoSpaceDE w:val="0"/>
        <w:autoSpaceDN w:val="0"/>
        <w:spacing w:line="594" w:lineRule="exact"/>
        <w:jc w:val="left"/>
        <w:rPr>
          <w:rFonts w:ascii="仿宋" w:hAnsi="仿宋" w:eastAsia="仿宋" w:cs="仿宋_GB2312"/>
          <w:bCs/>
          <w:color w:val="000000"/>
          <w:sz w:val="32"/>
          <w:szCs w:val="32"/>
        </w:rPr>
      </w:pPr>
      <w:r>
        <w:rPr>
          <w:rFonts w:hint="eastAsia" w:ascii="黑体" w:hAnsi="黑体" w:eastAsia="黑体" w:cs="黑体"/>
          <w:bCs/>
          <w:color w:val="000000"/>
          <w:sz w:val="32"/>
          <w:szCs w:val="32"/>
        </w:rPr>
        <w:t>四、技术标准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27"/>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9"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48"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标准号</w:t>
            </w:r>
          </w:p>
        </w:tc>
        <w:tc>
          <w:tcPr>
            <w:tcW w:w="3273"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13201-1997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圆柱体运输包装尺寸系列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14715-1993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信息技术—设备用不间断电源技术条件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15269.3-2011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雪茄烟 第3部分：产品包装、卷制及贮运技术要求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15533-1995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信息处理系统—小型计算机系统接口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16505.2-1996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信息处理系统 开放系统互连文卷传送、访问和管理 第２部分：虚文卷存储器定义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16561-1996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集装箱设备交接单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13960.9-1997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可移式电动工具的安全 第二部分: 斜切割机的专用要求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17175.1-1997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信息基础开放技术互连—管理信息构造第1部分：管理信息模型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17184-1997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船图 积载图报文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17231-1998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订购单报文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17232-1998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收货通知报文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17233-1998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发货通知报文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17275-1998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货运全挂车通用技术条件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17448-1998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集装袋运输包装尺寸系列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17449-1998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玻璃容器 螺纹瓶口尺寸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17536-1998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订购单变更请求报文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17537-1998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订购单应答报文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17703.2-1999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国际物流政府管理报文 第2部分：一般原产地证明书报文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17703.3-1999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国际物流政府管理报文 第3部分：普惠制原产地证明书报文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17705-1999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销售数据报告报文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17706-1999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销售预测报文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17707-1999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报价报文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17708-1999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报价请求报文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17709-1999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库存报告报文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17784.1-1999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货运和集拼汇总报文 第1部分：联合国家标准货运和集拼汇总报文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17784.2-1999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货运和集拼汇总报文 第2部分：货运和集拼汇总报文子集---货物/运费舱单报文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17894-1999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18016.1-1999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实际订舱报文 第1部分：联合国家标准实际订舱报文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18016.2-1999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实际订舱报文 第2部分：实际订舱报文子集 订舱报文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18017.1-1999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订舱确认报文 第1部分：联合国家标准订舱确认报文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18017.2-1999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订舱确认报文 第2部分：订舱确认报文子集 订舱确认报文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18020-1999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信息技术—应用级防火墙安全技术要求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13960.11-2000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可移式电动工具的安全 第2部分: 型材切割机的专用要求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18124-2000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质量数据报文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18125-2000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交货计划报文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18128-2000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应用错误与确认报文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18129-2000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价格/销售目录报文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18130-2000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参与方信息报文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18156-2000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海上国际集装箱货物交付单证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18157-2000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装箱单报文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18491.1-2001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软件测量 功能规模测量 第1部分：概念定义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50321-2001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粮食钢板仓设计规范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8867-2001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蒜苔简易气调冷藏技术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17703.1-2002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国际物流政府管理报文 第1部分：联合国家标准国际物流政府管理报文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18715-2002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配送备货与货物移动报文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18716-2002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汇款通知报文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18785-2002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商业账单汇总报文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14258-2003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条码符号印制质量的检验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18933-2003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国际货物销售合同报文（XML格式）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19254-2003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电子数据交换报文实施指南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19255-2003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运输状态报文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GB/Z 19257-2003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供应链数据传输与交换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9177-2004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真空、真空充气包装机通用技术条件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14099-2005 </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燃气轮机 采购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14805.10-2005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用于行政、商业和运输业电子数据交换的应用级语法规则 第10部分：语法服务目录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19709-2005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用于行政、商业和运输业电子数据交换基于EDI（FACT）报文实施指南的XML schema（XSD）生成规则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19947-2005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运输指示报文XML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19948-2005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运输计划及实施信息报文XML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5183-2005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叉车 货叉 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7925-2005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电火花线切割机(往复走丝型)参数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12358-2006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作业场所环境气体检测报警仪 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18564.1-2006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道路运输液体危险货物罐式车辆 第1部分：金属常压罐体技术要求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19256.9-2006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 第9部分：核心构件与业务信息实体规范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20134-2006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道路交通信息采集 事件信息集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20135-2006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智能运输系统 电子收费系统框架模型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20206-2006</w:t>
            </w:r>
          </w:p>
        </w:tc>
        <w:tc>
          <w:tcPr>
            <w:tcW w:w="3273"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"http://standard.sist.org.cn/StdSearch/stdDetail.aspx?AppID=GB/T%2020206-2006&amp;v=%u94F6%u884C%20%20%20%20%u672F%u8BED%24" </w:instrText>
            </w:r>
            <w:r>
              <w:fldChar w:fldCharType="separate"/>
            </w:r>
            <w:r>
              <w:rPr>
                <w:rFonts w:hint="eastAsia" w:ascii="宋体" w:hAnsi="宋体" w:eastAsia="宋体" w:cs="宋体"/>
                <w:color w:val="000000"/>
                <w:kern w:val="0"/>
                <w:sz w:val="18"/>
                <w:szCs w:val="18"/>
              </w:rPr>
              <w:t>银行业印鉴核验系统技术规范</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20525-2006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运输设备堆存报告报文XML格式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20526-2006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运输设备进场/出场报告报文XML格式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20534-2006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基于XML的运输工具到达通知报文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20535-2006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基于XML的运输工具驶离通知报文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20536-2006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基于XML的托运通知报文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20537-2006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基于XML的海运提单报文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20606-2006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智能运输系统 数据字典要求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20610-2006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道路运输与交通信息技术电子收费（EFC）参与方之间信息交互接口的规范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9653-2006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棉花打包机系列参数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14805.1-2007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第1部分：公用的语法规则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14805.2-2007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第2部分：批式电子数据交换专用的语法规则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14805.3-2007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第3部分：交互式电子数据交换专用的语法规则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14805.4-2007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第4部分：批式电子数据交换语法和服务报告报文（报文类型为CONTRL）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14805.5-2007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第5部分：批式电子数据交换安全规则（真实性、完整性和源抗抵赖性）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14805.6-2007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第6部分：安全鉴别和确认报文（报文类型为AUTACK）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14805.7-2007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第7部分：批式电子数据交换安全规则（保密性）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14805.8-2007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行政、商业和运输业电子数据交换（EDIFACT）应用级语法规则（语法版本号：4，语法发布号：1） 第8部分：电子数据交换中的相关数据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14805.9-2007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应用级语法规则（语法版本号：4，语法发布号：1） 第9部分：安全密钥和证书管理报文（报文类型为KEYMAN）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20925-2007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基于XML的道路客运结算数据交换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21081-2007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密钥管理相关数据元(零售)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21082.4-2007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密钥管理（零售）第4部分：使用公开密钥密码的密钥管理技术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21291-2007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鱼糜加工机械安全卫生技术条件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2934-2007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联运通用平托盘 主要尺寸及公差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18564.2-2008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道路运输液体危险货物罐式车辆 第2部分：非金属常压罐体技术要求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50475-2008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石油化工全厂性仓库及堆场设计规范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15140-2008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航空货运集装单元技术要求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15233-2008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单元货物尺寸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16470-2008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托盘单元货载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16471-2008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运输包装件尺寸与质量界限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16862-2008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鲜食葡萄冷藏技术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17302.1-2008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中华人民共和国进出口许可证报文 第1部分：进口许可证报文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17302.2-2008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中华人民共和国进出口许可证报文 第2部分：出口许可证报文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17917-2008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零售企业管理信息系统基本功能要求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17917-2008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零售企业管理信息系统基本功能要求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18578-2008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城市地理信息系统设计规范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22120-2008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企业信用数据项规范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22263.2-2008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物流公共信息平台应用开发指南 第2部分：体系架构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22334-2008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动物射频识别 技术准则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22417-2008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叉车 货叉叉套和伸缩式货叉 技术性能和强度要求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22430-2008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集装箱运输电子数据交换进/出门报告报文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22431-2008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集装箱运输电子数据交换 船舶离港报文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22432-2008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集装箱运输电子数据交换.挂靠信息报文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22433-2008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集装箱运输电子数据交换 堆存报告报文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22434-2008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集装箱运输电子数据交换 运输计划及实施信息报文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22918-2008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易腐食品控温运输技术要求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4892-2008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硬质直方体运输包装尺寸系列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7291-2008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基于消费者需求的技术指南 图形符号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8559-2008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苹果冷藏技术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9174-2008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一般货物运输包装通用技术条件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9829-2008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水果和蔬菜 冷库中物理条件 定义和测量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12463-2009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危险货物运输包装通用技术条件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15310.2-2009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国际贸易出口单证格式 第2部分：装箱单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15310.3-2009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国际贸易出口单证格式 第3部分：装运通知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17298-2009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国际贸易单证格式标准编制规则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17313-2009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袋成型-充填-封口机通用技术条件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17424-2009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差分全球导航卫星系统（DGNSS）技术要求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18314-2009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全球定位系统（GPS）测量规范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"http://www.cnnbzj.com/cn/bzahmjs/Detail_fffba77eb9ba4440ac65c23a89cafe56.html" </w:instrText>
            </w:r>
            <w:r>
              <w:fldChar w:fldCharType="separate"/>
            </w:r>
            <w:r>
              <w:rPr>
                <w:rFonts w:hint="eastAsia" w:ascii="宋体" w:hAnsi="宋体" w:eastAsia="宋体" w:cs="宋体"/>
                <w:color w:val="000000"/>
                <w:kern w:val="0"/>
                <w:sz w:val="18"/>
                <w:szCs w:val="18"/>
              </w:rPr>
              <w:t>GB/T 18391.2-2009</w:t>
            </w:r>
            <w:r>
              <w:rPr>
                <w:rFonts w:hint="eastAsia" w:ascii="宋体" w:hAnsi="宋体" w:eastAsia="宋体" w:cs="宋体"/>
                <w:color w:val="000000"/>
                <w:kern w:val="0"/>
                <w:sz w:val="18"/>
                <w:szCs w:val="18"/>
              </w:rPr>
              <w:fldChar w:fldCharType="end"/>
            </w:r>
          </w:p>
        </w:tc>
        <w:tc>
          <w:tcPr>
            <w:tcW w:w="3273"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"http://www.cnnbzj.com/cn/bzahmjs/Detail_fffba77eb9ba4440ac65c23a89cafe56.html" </w:instrText>
            </w:r>
            <w:r>
              <w:fldChar w:fldCharType="separate"/>
            </w:r>
            <w:r>
              <w:rPr>
                <w:rFonts w:hint="eastAsia" w:ascii="宋体" w:hAnsi="宋体" w:eastAsia="宋体" w:cs="宋体"/>
                <w:color w:val="000000"/>
                <w:kern w:val="0"/>
                <w:sz w:val="18"/>
                <w:szCs w:val="18"/>
              </w:rPr>
              <w:t>信息技术 元数据注册系统（MDR） 第2部分：分类</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19256.8-2009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 第8部分：报文设计规则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23244-2009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水果和蔬菜 气调贮藏技术规范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23434-2009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运输信息及控制系统 车载导航系统 通信信息集要求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23678-2009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供应链监控用集装箱电子箱封应用技术规范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24662-2009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 产品核心元数据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24663-2009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 企业核心元数据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50072-2010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17303.1-2010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发票报文 第1部分： 联合国家标</w:t>
            </w:r>
            <w:bookmarkStart w:id="164" w:name="_GoBack"/>
            <w:bookmarkEnd w:id="164"/>
            <w:r>
              <w:rPr>
                <w:rFonts w:hint="eastAsia" w:ascii="宋体" w:hAnsi="宋体" w:eastAsia="宋体" w:cs="宋体"/>
                <w:color w:val="000000"/>
                <w:kern w:val="0"/>
                <w:sz w:val="18"/>
                <w:szCs w:val="18"/>
              </w:rPr>
              <w:t>准发票报文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17303.2-2010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发票报文 第2部分： 国际贸易商业发票报文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24938-2010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低速货车自卸系统 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25109.2-2010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企业资源计划 第2部分：ERP 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25109.3-2010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企业资源计划 第3部分：ERP 功能构件规范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25109.4-2010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企业资源计划 第4部分：ERP 系统体系结构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25160-2010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卡纸板折叠纸盒结构尺寸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25227-2010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粮食加工、储运设备现场监测装置技术规范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26151-2010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基于XML的电子商务发票报文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26152-2010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基于XML的电子商务订单报文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26228.1-2010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自动识别与数据采集技术 条码检测仪一致性规范 第1部分：一维条码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2893.3-2010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安全色和安全标志 第3部分：安全标志用图形符号设计原则 图形符号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28184-2011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消防设备电源监控系统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50322-2011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粮食钢板筒仓设计规范(附条文说明)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14404-2011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剪板机 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15947-2011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行政、商业和运输业电子数据交换（EDIFACT）报文设计规则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26474-2011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集装箱正面吊运起重机 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26770-2011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停车诱导信息集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26772-2011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运输与仓储业务数据交换应用规范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26821-2011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物流管理信息系统功能与设计要求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26840-2011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 药品核心元数据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26879-2011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平房仓隔热技术规范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26880-2011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就仓干燥技术规范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26881-2011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通风自动控制系统基本要求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26882.1-2011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粮情测控系统 第1部分：通则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26882.2-2011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粮情测控系统 第2部分：分机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26882.3-2011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粮情测控系统 第3部分：软件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26882.4-2011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粮情测控系统 第4部分：信息交换接口协议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26934-2011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集装箱电子标签技术规范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26937-2011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统计集装箱量的换算单位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27541-2011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货运缆车技术规范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27638-2011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活鱼运输技术规范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27924-2011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工业货架规格尺寸与额定荷载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27929-2011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采用对称加密技术进行报文鉴别的要求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28240-2012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剪板机 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15310.4-2012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中华人民共和国出口货物原产地证书格式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16832-2012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国际贸易单证用格式设计 基本样式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28576-2012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工业货架设计计算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28581-2012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通用仓库及库区规划设计参数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28750-2012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节能量测量和验证技术通则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28925-2012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射频识别 2.45GHz空中接口协议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2901-2012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信息与文献 信息交换格式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29266-2012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射频识别 13.56MHz标签基本电特性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29399-2012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木材防虫（蚁）技术规范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29409-2012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木材储存保管技术规范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17914-2013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易燃易爆性商品储存养护技术条件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17915-2013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腐蚀性商品储存养护技术条件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17916-2013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毒害性商品储存养护技术条件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50807-2013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铀矿石和铀化合物贮存设施安全技术规范(附条文说明)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29768-2013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射频识别 800/900MHz空中接口协议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29890-2013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29912-2013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城市物流配送汽车选型技术要求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50320-2014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粮食平房仓设计规范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50986-2014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干法赤泥堆场设计规范(附条文说明)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51073-2014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医药工业仓储工程设计规范(附条文说明)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15310.1-2014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国际贸易出口单证格式 第1部分：商业发票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15634-2014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行政、商业和运输电子数据交换 段目录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31150-2014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汽车零部件物流 塑料周转箱尺寸系列及技术要求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31497-2015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信息安全管理 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31524-2015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电子商务平台运营与技术规范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31785-2015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大豆储存品质判定规则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31865-2015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基于ebXML的运输路线指令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31871-2015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基于ebXML的越库配送通知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31872-2015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基于ebXML的收货通知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31873-2015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基于ebXML的仓库装运通知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31877-2015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基于ebXML的整车/零担运输状态查询与答复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31878-2015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基于ebXML的发货通知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32171-2015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基于ebXML不可撤销跟单信用证报文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32172-2015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基于ebXML不可撤销跟单信用证申请书报文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32176-2015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基于ebXML货物运输保险保单报文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32180.1-2015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财经信息技术 企业资源计划软件数据接口 第1部分：公共基础数据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32180.2-2015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财经信息技术 企业资源计划软件数据接口 第2部分：采购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32180.3-2015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财经信息技术 企业资源计划软件数据接口 第3部分：库存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32180.4-2015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财经信息技术 企业资源计划软件数据接口 第4部分：销售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32180.5-2015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财经信息技术 企业资源计划软件数据接口 第5部分：预算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32180.6-2015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财经信息技术 企业资源计划软件数据接口 第6部分：资金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32406-2015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移动通信网面向物流信息服务的M2M平台技术要求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32430-2015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SOA应用的服务分析与设计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51124-2015</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马铃薯贮藏设施设计规范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1589-2016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汽车、挂车及汽车列车外廓尺寸、轴荷及质量限值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26774-2016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车辆运输车通用技术条件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32830.3-2016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装备制造业 制造过程射频识别 第3部分：系统应用接口规范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32850-2016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国际货运代理系列单证 基于ebXML订舱申请报文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33449-2016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物流单证基本要求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33458-2016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公路物流主要单证要素要求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7258-2017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机动车运行安全技术条件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20068-2017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船载自动识别系统（AIS）技术要求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33844-2017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生物特征识别 用于生物特征十指指纹采集应用编程接口（BioAPI）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33894-2017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基于ebXML装箱单报文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34394-2017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平托盘最大工作载荷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34399-2017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医药产品冷链物流温控设施设备验证 性能确认技术规范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34585-2017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纯电动货车 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34920-2017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基于ebXML提货单报文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34921-2017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基于ebXML国际多式联运提单报文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34922-2017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基于ebXML国际道路货物运单报文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35201-2017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系列2集装箱 分类、尺寸和额定质量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35247-2017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产品质量安全风险信息监测技术通则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35319-2017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 系统接口要求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35485-2017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导轮式分拣机技术规范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35486-2017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物流仓储配送中心螺旋箱式输送机技术规范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35549-2017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无压干散货集装箱散货运输技术规范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20300-2018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道路运输爆炸品和剧毒化学品车辆安全技术条件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36894-2018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危险化学品生产装置和储存设施风险基准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22335-2018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棉花加工技术规范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35973-2018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集装箱环保技术要求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36147.1-2018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供应链安全管理系统 电子口岸通关（EPC） 第1部分：消息结构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36149-2018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快递汽车技术条件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36395-2018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冷冻鱼糜加工技术规范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36519-2018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不干胶贴标机通用技术要求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37064-2018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国际货运代理系列单证 基于ebXML货运委托书报文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37065-2018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国际货运代理系列单证 基于ebXML费用结算单报文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37106-2018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托盘单元化物流系统 托盘设计准则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5600-2018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铁道货车通用技术条件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22128-2019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报废机动车回收拆解企业技术规范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17275-2019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货运牵引杆挂车通用技术条件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37706-2019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车用起重尾板安装与使用技术要求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10047-1992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大型锯齿剥绒机技术条件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10091-1992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桃冷藏技术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10133-1992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蒸料罐技术条件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10237-1994</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籽棉干燥机技术条件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10352-2003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畜禽屠宰加工厂实验室检验基本要求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10394-2005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流通领域高致病性禽流感监测技术规范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10424-2007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家用和类似用途电器的安全  自携或远置冷凝机组或压缩机的商用致冷器具的特殊要求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10447-2007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水果和蔬菜 气调贮藏原则与技术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SBJ 08-2007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牛羊屠宰与分割车间设计规范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10456-2008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畜禽屠宰加工设备通用技术条件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10486-2008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生猪屠宰成套设备技术条件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10530-2009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商务领域射频识别标签数据格式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SBJ 16-2009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气调冷藏库设计规范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SBJ 17-2009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室外装配冷库设计规范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10581-2011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鲍燕肚参干货发制工艺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SBJ 12-2011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氨制冷系统安装工程施工及验收规范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10681-2012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肉类蔬菜流通追溯体系信息传输技术要求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10682-2012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肉类蔬菜流通追溯体系信息感知技术要求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10683-2012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肉类蔬菜流通追溯体系管理平台技术要求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10684-2012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肉类蔬菜流通追溯体系信息处理技术要求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10728-2012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易腐食品冷藏链技术要求 果蔬类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10730-2012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易腐食品冷藏链技术要求 禽畜肉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10750-2012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主食加工配送中心产品质量检测室技术规范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10768-2012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基于射频识别的瓶装酒追溯与防伪标签技术要求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10770-2012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基于射频识别的瓶装酒追溯与防伪读写器技术要求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10772-2012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射频识别 支持安全协议的800-900MHz空中接口通信协议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10824-2012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速冻食品二维条码识别追溯技术规范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10946-2012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川菜烹饪工艺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11040-2013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热循环多功能烘干设备技术要求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11059-2013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肉类蔬菜流通追溯体系城市管理平台技术要求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11074-2013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糖果巧克力及其制品二维条码识别追溯技术要求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11129-2015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干混砂浆筛分设备技术规范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11130-2015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干混砂浆生产设备构架安全技术规范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11139-2015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家用空调器室外机安装架技术要求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11169-2016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川点制作工艺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11177-2016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废混凝土再生技术规范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11214-2017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干混砂浆机械化施工技术规程</w:t>
            </w:r>
          </w:p>
        </w:tc>
      </w:tr>
    </w:tbl>
    <w:p>
      <w:pPr>
        <w:adjustRightInd w:val="0"/>
        <w:spacing w:line="360" w:lineRule="auto"/>
        <w:jc w:val="left"/>
        <w:rPr>
          <w:b/>
          <w:kern w:val="44"/>
          <w:sz w:val="28"/>
          <w:szCs w:val="28"/>
        </w:rPr>
      </w:pPr>
      <w:r>
        <w:rPr>
          <w:rFonts w:hint="eastAsia" w:ascii="黑体" w:hAnsi="黑体" w:eastAsia="黑体" w:cs="黑体"/>
          <w:bCs/>
          <w:color w:val="000000"/>
          <w:sz w:val="32"/>
          <w:szCs w:val="32"/>
        </w:rPr>
        <w:t>五、管理标准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5"/>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9"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47"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标准号</w:t>
            </w:r>
          </w:p>
        </w:tc>
        <w:tc>
          <w:tcPr>
            <w:tcW w:w="3274"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9683-1988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复合食品包装袋卫生标准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10016-1988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林木种子贮藏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13491-1992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涂料产品包装通则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13607-1992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苹果、柑桔包装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5721-1993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橡胶密封制品标志、包装、运输、贮存的一般规定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15278-1994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信息处理—数据加密物流层互操作性要求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15603-1995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常用化学危险品贮存通则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15630-1995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消防安全标志设置要求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16546-1996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定形耐火制品包装、标志、运输和储存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14891.1-1997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辐射熟畜禽肉类卫生标准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14891.3-1997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辐照干果果脯类卫生标准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14891.5-1997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辐照新鲜水果、蔬菜类卫生标准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14891.7-1997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辐照冷冻包装畜禽肉类卫生标准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17479-1998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杏冷藏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4838-2000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农药乳油包装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11601-2000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集装箱进出港站检查交接要求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18026-2000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纸品装卸、储运安全要求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18597-2001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危险废物贮存污染控制标准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18599-2001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一般工业固体废物贮存、处置场污染控制标准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18518-2001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黄瓜 贮藏和冷藏运输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18760-2002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消费品售后服务方法与要求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18768-2002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数码仓库应用系统规范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90.2-2002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紧固件 标志与包装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18769-2003 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大宗商品电子交易规范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18959-2003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木材保管规程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19022-2003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测量管理体系 测量过程和测量设备的要求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19099-2003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术语标准化项目管理指南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19188-2003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天然生胶和合成生胶贮存指南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19220-2003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农副产品绿色批发市场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19221-2003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农副产品绿色零售市场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19455-2004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民用爆炸品危险货物危险特性检验安全规范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19456-2004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硝酸盐类危险货物危险特性检验安全规范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19521.10-2004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压缩气体危险货物危险特性检验安全规范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19521.1-2004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易燃固体危险货物危险特性检验安全规范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19521.2-2004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易燃液体危险货物危险特性检验安全规范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19521.3-2004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易燃气体危险货物危险特性检验安全规范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19521.6-2004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腐蚀性危险货物危险特性检验安全规范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19521.7-2004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毒性危险货物危险特性检验安全规范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19521.8-2004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毒性气体危险货物危险特性检验安全规范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19521.9-2004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气体混合物危险货物危险特性检验安全规范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19445-2004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贵金属及其合金产品的包装、标志、运输、贮存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19459-2004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危险货物及危险货物包装检验标准基本规定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19486-2004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电子政务主题词表编制规则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19575-2004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农产品批发市场管理技术规范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14192-2005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木材采伐运输安全通则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19521.11-2005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锂电池组危险货物危险特性检验安全规范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5606.3-2005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卷烟 第3部分:包装、卷制技术要求及贮运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12419-2005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集装箱公路中转站级别划分、设备配备及建设要求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19785-2005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拉伸缠绕包装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20032-2005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项目风险管理 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4798.1-2005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电工电子产品应用环境条件 第1部分:贮存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3796-2006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农药包装通则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10346-2006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白酒检验规则和标志、包装、运输、贮存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20372-2006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花椰菜 冷藏和冷藏运输指南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20401-2006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畜禽肉食品绿色生产线资质条件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20523-2006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企业物流成本构成与计算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20538.1-2006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基于XML的电子商务业务数据和过程 第1部分：核心构件目录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20538.6-2006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基于XML的电子商务业务数据和过程 第6部分：技术评审组织和程序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20538.7-2006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基于XML的电子商务业务数据和过程 第7部分：技术评审指南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20547.2-2006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安全加密设备（零售） 第2部分：金融交易中设备安全符合性检测清单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20569-2006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稻谷储存品质判定规则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20571-2006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小麦储存品质判定规则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20613-2006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烟花爆竹 储存运输安全性能检验规范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20739-2006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橡胶制品 贮存指南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5243-2006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硬质合金制品的标志、包装、运输和贮存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GB/Z 20539-2006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电子商务业务过程和信息建模指南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18360-2007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公共航空运输服务质量评定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20918-2007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软件生存周期过程 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20924-2007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道路货物运输服务质量评定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20984-2007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信息安全风险评估规范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21070-2007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仓储从业人员职业资质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21077.2-2007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证书管理 第2部分：证书扩展项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21078.1-2007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个人识别码的管理与安全 第1部分： ATM和POS系统中联机PIN处理的基本原则和要求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21084-2007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21176-2007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液化石油气危险货物危险特性检验安全规范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21177-2007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涂料危险货物危险特性检验安全规范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8180-2007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钛及钛合金加工产品的包装、标志、运输和贮存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21668-2008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危险货物运输车辆结构要求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1019-2008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14213-2008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初始图形交换规范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14393-2008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贸易单证中代码的位置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14394-2008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计算机软件可靠性和可维护性管理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17109-2008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17374-2008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食用植物油销售包装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18770-2008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食盐批发企业管理质量等级划分及技术要求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19024-2008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质量管理 实现财务和经济效益的指南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21667-2008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二手货品质鉴定通则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21720-2008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农贸市场管理技术规范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21721-2008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农副产品销售现场危害管理规范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21737-2008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为消费者提供商品和服务的购买信息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22116-2008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企业信用等级表示方法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22118-2008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企业信用信息采集、处理和提供规范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22126-2008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物流中心作业通用规范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22151-2008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22152-2008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国际货运代理业务统计导则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22153-2008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国际货运代理通用交易条件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22154-2008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22155-2008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国际货运代理企业资质和等级评价指标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22165-2008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坚果炒货食品通则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22497-2008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熏蒸剂使用准则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22498-2008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防护剂使用准则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22502-2008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超市销售生鲜农产品基本要求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22529-2008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废弃木质材料回收利用管理规范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22760-2008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消费品安全风险评估通则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22939.2-2008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 吸油烟机的特殊要求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22939.3-2008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 真空吸尘器和吸水式清洁器具的特殊要求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22939.4-2008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 微波炉的特殊要求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22939.5-2008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 电动洗衣机和干衣机的特殊要求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22939.6-2008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 电冰箱的特殊要求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22939.7-2008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家用和类似用途电器包装 空调器的特殊要求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23220-2008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烟叶储存保管方法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4798.2-2008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电工电子产品应用环境条件 第2部分:运输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5305-2008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手工具包装、标志、运输与贮存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7415-2008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农作物种子贮藏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8082-2008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天然生胶 标准橡胶 包装、标志、贮存和运输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19269-2009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公路运输危险货物包装检验安全规范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19359-2009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铁路运输危险货物包装检验安全规范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19432-2009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危险货物大包装检验安全规范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19433-2009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空运危险货物包装检验安全规范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19453-2009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危险货物电石包装检验安全规范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19457-2009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危险货物涂料包装检验安全规范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23350-2009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限制商品过度包装要求 食品和化妆品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13391-2009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餐饮企业的等级划分和评定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14257-2009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商品条码 条码符号放置指南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14392-2009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国际贸易单证样式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15034-2009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芒果 贮藏导则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15219-2009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放射性物质运输包装质量保证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16868-2009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商品经营服务质量管理规范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16870-2009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芦笋 贮藏指南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19039-2009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顾客满意测评通则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19063-2009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液体食品包装设备验收规范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23346-2009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食品良好流通规范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23581-2009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散状物料用贮存设备 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23650-2009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超市购物环境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23723.1-2009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安全使用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23812-2009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糕点生产及销售要求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23862-2009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文物运输包装规范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23887-2009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食品包装容器及材料生产企业通用良好操作规范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23897-2009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主要切花产品包装、运输、贮藏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24103-2009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染料中间体 产品标志、标签、包装、运输、贮存通则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24353-2009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风险管理 原则与实施指南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24359-2009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第三方物流服务质量要求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24361-2009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社会物流统计指标体系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24363-2009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信息安全应急响应计划规范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24400-2009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食品冷库HACCP应用规范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24420-2009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供应链风险管理指南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24616-2009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冷藏食品物流包装、标志、运输和储存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24661.2-2009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第三方电子商务服务平台服务及服务等级划分规范 第2部分：企业间（B2B）、企业与消费者间（B2C）电子商务服务平台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24661.3-2009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第三方电子商务服务平台服务及服务等级划分规范 第3部分：现代物流服务平台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3883.18-2009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手持式电动工具的安全 第二部分：石材切割机的专用要求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8719-2009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炭素材料及其制品的包装、标志、储存、运输和质量证明书的一般规定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20538.2-2010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基于XML的电子商务业务数据和过程 第2部分：业务信息实体目录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22263.7-2010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物流公共信息平台应用开发指南 第7部分：平台服务管理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22263.8-2010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物流公共信息平台应用开发指南 第8部分：软件开发管理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23723.3-2010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安全使用 第3部分：塔式起重机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23723.4-2010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安全使用 第4部分：臂架起重机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23724.3-2010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 检查 第3部分：塔式起重机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24700-2010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大蒜 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24861-2010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水产品流通管理技术规范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24866-2010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牧草及草坪草种子贮藏规范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25103-2010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供应链管理业务参考模型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25229-2010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粮油储藏 平房仓气密性要求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25644-2010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软件工程 可复用资产规范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25778-2010 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焊接材料采购指南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25810-2010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染料 产品标志、标签、包装、运输和贮存的基本规定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25867-2010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根菜类 冷藏和冷藏运输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25868-2010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早熟马铃薯 预冷和冷藏运输指南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25869-2010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洋葱 贮藏指南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25870-2010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甜瓜 冷藏和冷藏运输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25871-2010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结球生菜 预冷和冷藏运输指南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25872-2010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马铃薯 通风库贮藏指南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25873-2010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结球甘蓝 冷藏和冷藏运输指南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26236.1-2010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软件资产管理 第1部分：过程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26318-2010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物流网络信息系统风险与防范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"http://new.sac.gov.cn/SACSearch/search?channelid=160591&amp;templet=gjcxjg_detail_forward.jsp&amp;searchword=STANDARD_CODE='GB/T%2026319-2010'" </w:instrText>
            </w:r>
            <w:r>
              <w:fldChar w:fldCharType="separate"/>
            </w:r>
            <w:r>
              <w:rPr>
                <w:rFonts w:hint="eastAsia" w:ascii="宋体" w:hAnsi="宋体" w:eastAsia="宋体" w:cs="宋体"/>
                <w:color w:val="000000"/>
                <w:kern w:val="0"/>
                <w:sz w:val="18"/>
                <w:szCs w:val="18"/>
              </w:rPr>
              <w:t>GB/T 26319-2010</w:t>
            </w:r>
            <w:r>
              <w:rPr>
                <w:rFonts w:hint="eastAsia" w:ascii="宋体" w:hAnsi="宋体" w:eastAsia="宋体" w:cs="宋体"/>
                <w:color w:val="000000"/>
                <w:kern w:val="0"/>
                <w:sz w:val="18"/>
                <w:szCs w:val="18"/>
              </w:rPr>
              <w:fldChar w:fldCharType="end"/>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国际货运代理单证标识符编码规则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"http://new.sac.gov.cn/SACSearch/search?channelid=160591&amp;templet=gjcxjg_detail_forward.jsp&amp;searchword=STANDARD_CODE='GB/T%2026320-2010'" </w:instrText>
            </w:r>
            <w:r>
              <w:fldChar w:fldCharType="separate"/>
            </w:r>
            <w:r>
              <w:rPr>
                <w:rFonts w:hint="eastAsia" w:ascii="宋体" w:hAnsi="宋体" w:eastAsia="宋体" w:cs="宋体"/>
                <w:color w:val="000000"/>
                <w:kern w:val="0"/>
                <w:sz w:val="18"/>
                <w:szCs w:val="18"/>
              </w:rPr>
              <w:t>GB/T 26320-2010</w:t>
            </w:r>
            <w:r>
              <w:rPr>
                <w:rFonts w:hint="eastAsia" w:ascii="宋体" w:hAnsi="宋体" w:eastAsia="宋体" w:cs="宋体"/>
                <w:color w:val="000000"/>
                <w:kern w:val="0"/>
                <w:sz w:val="18"/>
                <w:szCs w:val="18"/>
              </w:rPr>
              <w:fldChar w:fldCharType="end"/>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国际货运代理信息交换规范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"http://new.sac.gov.cn/SACSearch/search?channelid=160591&amp;templet=gjcxjg_detail_forward.jsp&amp;searchword=STANDARD_CODE='GB/T%2026321-2010'" </w:instrText>
            </w:r>
            <w:r>
              <w:fldChar w:fldCharType="separate"/>
            </w:r>
            <w:r>
              <w:rPr>
                <w:rFonts w:hint="eastAsia" w:ascii="宋体" w:hAnsi="宋体" w:eastAsia="宋体" w:cs="宋体"/>
                <w:color w:val="000000"/>
                <w:kern w:val="0"/>
                <w:sz w:val="18"/>
                <w:szCs w:val="18"/>
              </w:rPr>
              <w:t>GB/T 26321-2010</w:t>
            </w:r>
            <w:r>
              <w:rPr>
                <w:rFonts w:hint="eastAsia" w:ascii="宋体" w:hAnsi="宋体" w:eastAsia="宋体" w:cs="宋体"/>
                <w:color w:val="000000"/>
                <w:kern w:val="0"/>
                <w:sz w:val="18"/>
                <w:szCs w:val="18"/>
              </w:rPr>
              <w:fldChar w:fldCharType="end"/>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国际货运代理业务数据元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26333-2010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工业控制网络安全风险评估规范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26432-2010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新鲜蔬菜贮藏与运输准则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GB/Z 26337.1-2010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供应链管理 第1部分：综述与基本原理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19630.3-2011</w:t>
            </w:r>
          </w:p>
        </w:tc>
        <w:tc>
          <w:tcPr>
            <w:tcW w:w="3274" w:type="pct"/>
            <w:shd w:val="clear" w:color="auto" w:fill="auto"/>
            <w:vAlign w:val="center"/>
          </w:tcPr>
          <w:p>
            <w:pPr>
              <w:widowControl/>
              <w:jc w:val="left"/>
              <w:rPr>
                <w:rFonts w:ascii="宋体" w:hAnsi="宋体" w:eastAsia="宋体" w:cs="宋体"/>
                <w:color w:val="000000"/>
                <w:kern w:val="0"/>
                <w:sz w:val="18"/>
                <w:szCs w:val="18"/>
              </w:rPr>
            </w:pPr>
            <w:r>
              <w:fldChar w:fldCharType="begin"/>
            </w:r>
            <w:r>
              <w:instrText xml:space="preserve"> HYPERLINK "http://standard.sist.org.cn/StdSearch/stdDetail.aspx?AppID=GB/T%2019630.3-2011&amp;v=%u9500%u552E$" </w:instrText>
            </w:r>
            <w:r>
              <w:fldChar w:fldCharType="separate"/>
            </w:r>
            <w:r>
              <w:rPr>
                <w:rFonts w:hint="eastAsia" w:ascii="宋体" w:hAnsi="宋体" w:eastAsia="宋体" w:cs="宋体"/>
                <w:color w:val="000000"/>
                <w:kern w:val="0"/>
                <w:sz w:val="18"/>
                <w:szCs w:val="18"/>
              </w:rPr>
              <w:t>有机产品 第3部分：标识与销售</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21078.2-2011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个人识别码的管理与安全 第2部分：ATM和POS系统中脱机PIN处理的要求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21078.3-2011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个人识别码的管理与安全 第3部分：开放网络中PIN处理指南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21079.1-2011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安全加密设备（零售） 第1部分：概念、要求和评估方法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26493-2011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电池废料贮运规范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26543-2011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活体动物航空运输包装通用要求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26544-2011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水产品航空运输包装通用要求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26817-2011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企业信用调查报告格式规范 基本信息报告、普通调查报告、深度调查报告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26818-2011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个人信用调查报告格式规范 基本信息报告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26839-2011 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 仓单交易模式规范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26841-2011  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基于电子商务活动的交易主体 企业信用档案规范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26901-2011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李贮藏技术规程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26904-2011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桃贮藏技术规程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26908-2011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枣贮藏技术规程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27909.1-2011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密钥管理（零售） 第1部分：一般原则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27909.2-2011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密钥管理（零售） 第2部分：对称密码及其密钥管理和生命周期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27909.3-2011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 密钥管理（零售） 第3部分：非对称密码系统及其密钥管理和生命周期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27910-2011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金融服务 信息安全指南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27912-2011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金融服务 生物特征识别 安全框架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27913-2011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用于金融服务的公钥基础设施 实施和策略框架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27914-2011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企业法律风险管理指南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27917.2-2011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快递服务 第2部分：组织要求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27921-2011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风险管理 风险评估技术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27922-2011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商品售后服务评价体系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27927-2011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银行业务和相关金融服务 三重数据加密算法操作模式 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27928.1-2011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金融业务 证书管理 第1部分：公钥证书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27968-2011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拍卖企业的等级评估与等级划分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28009-2011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28041-2011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基于电子商务活动的交易主体 个人信用评价指标体系及表示规范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28042-2011  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基于电子商务活动的交易主体 个人信用档案规范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28216-2011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消费品质量安全因子评估和控制 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GB/Z 27907-2011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质量管理 顾客满意 监视和测量指南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28644.1-2012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危险货物例外数量及包装要求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28644.2-2012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危险货物有限数量及包装要求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28450-2012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信息安全管理体系审核指南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28458-2012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安全漏洞标识与描述规范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GB/T 28530-2012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国际货运代理系列单证-单证数据项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fldChar w:fldCharType="begin"/>
            </w:r>
            <w:r>
              <w:instrText xml:space="preserve"> HYPERLINK "http://www.sac.gov.cn/SACSearch/search?channelid=160591&amp;templet=gjcxjg_detail_forward.jsp&amp;searchword=STANDARD_CODE='GB/T%2028531-2012'" </w:instrText>
            </w:r>
            <w:r>
              <w:fldChar w:fldCharType="separate"/>
            </w:r>
            <w:r>
              <w:rPr>
                <w:rFonts w:hint="eastAsia" w:ascii="宋体" w:hAnsi="宋体" w:eastAsia="宋体" w:cs="宋体"/>
                <w:color w:val="000000"/>
                <w:kern w:val="0"/>
                <w:sz w:val="18"/>
                <w:szCs w:val="18"/>
              </w:rPr>
              <w:t>GB/T 28531-2012</w:t>
            </w:r>
            <w:r>
              <w:rPr>
                <w:rFonts w:hint="eastAsia" w:ascii="宋体" w:hAnsi="宋体" w:eastAsia="宋体" w:cs="宋体"/>
                <w:color w:val="000000"/>
                <w:kern w:val="0"/>
                <w:sz w:val="18"/>
                <w:szCs w:val="18"/>
              </w:rPr>
              <w:fldChar w:fldCharType="end"/>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运输通道物流绩效评估与监控规范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28577-2012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冷链物流分类与基本要求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28578-2012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出版物物流 接口作业规范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28579-2012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出版物物流 退货作业规范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28582-2012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28640-2012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畜禽肉冷链运输管理技术规范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28803-2012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消费品安全风险管理导则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28831-2012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国际货运单证缮制规范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国际货运单证缮制质量要求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28833-2012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国际物流责任保险投保、索赔规则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28834-2012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国际物流责任保险 国际货运代理提单责任险基本要素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28835-2012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国际物流责任保险 国际货运代理人责任险基本要素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28836-2012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国际物流企业信用评价指标要素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28837-2012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木质包装检疫处理服务质量要求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28838-2012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木质包装热处理作业规范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28839-2012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进出境货物木质包装申报规范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28840-2012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乡（镇）村商业零售店经营规范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28841-2012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家用电子电器维修业服务经营规范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28842-2012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药品冷链物流运作规范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28843-2012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食品冷链物流追溯管理要求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29245-2012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政府部门信息安全管理基本要求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29267-2012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热敏和热转印条码打印机通用规范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29372-2012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食用农产品保鲜贮藏管理规范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29373-2012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农产品追溯要求 果蔬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29402.1-2012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谷物和豆类储存 第1部分：谷物储存的一般建议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29402.2-2012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谷物和豆类储存 第2部分：实用建议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29402.3-2012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谷物和豆类储存 第3部分：有害生物的控制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3883.20-2012</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手持式电动工具的安全 第2部分：捆扎机的专用要求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14784-2013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带式输送机 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6975-2013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19392-2013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车载卫星导航设备通用规范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19680-2013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物流企业分类与评估指标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27202-2013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认证执业人员信用评价准则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29563-2013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木材保护管理规范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29568-2013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农产品追溯要求 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29621-2013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危险货物国际运输单证规范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29622-2013  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卖方交易信用信息披露规范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29647-2013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坚果与籽类炒货食品良好生产规范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29797-2013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13.56MHz射频识别读/写设备规范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30055-2013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国际货运代理报关服务质量要求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30056-2013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国际货运代理拼箱服务质量要求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30057-2013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国际货运代理合同规范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30058-2013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国际多式联运单据备案与查询规则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30134-2013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30323-2013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二手车鉴定评估技术规范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30331-2013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仓储绩效指标体系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30336-2013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物流景气指数统计指标体系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30337-2013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物流园区统计指标体系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30343-2013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国际货运代理海铁联运作业规范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30344-2013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国际货运代理铁海联运作业规范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30345-2013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国际物流企业信用管理规范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30346-2013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加工贸易物流作业规范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30347-2013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国际货运代理危险货物运输服务质量要求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30348-2013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国际展品运输服务质量要求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30349-2013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集装箱货运代理服务规范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30354-2013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食用植物油散装运输规范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30396-2013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牛冷冻精液包装、标签、贮存和运输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30445-2013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在职人员评估服务 服务提供者要求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3390.5-2013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手动套筒扳手 检验规则、包装与标志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9576-2013</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橡胶和塑料软管及软管组合件 选择、贮存、使用和维护指南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30673-2014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自动化立体仓库的安装与维护规范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30674-2014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企业应急物流能力评估规范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30837-2014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信用证进口货物质押监管作业规范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30838-2014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契约承运人服务质量要求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30975-2014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基于计算机的软件系统的性能测量与评级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31078-2014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低温仓储作业规范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31084-2014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国际货运代理运输单证交接规范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31085-2014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国际货运代理单证签发规范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31086-2014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物流企业冷链服务要求与能力评估指标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31149-2014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汽车物流服务评价指标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31151-2014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汽车整车物流质损风险监控要求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31300-2014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担保存货第三方管理规范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8888-2014</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重有色金属加工产品的包装、标志、运输、贮存和质量证明书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16680-2015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系统与软件工程 用户文档的管理者要求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20570-2015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玉米储存品质判定规则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31496-2015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信息安全管理体系实施指南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31509-2015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信息安全风险评估实施指南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31526-2015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电子商务平台服务质量评价与等级划分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31593.3-2015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消防安全工程 第3部分：火灾风险评估指南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31722-2015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信息安全风险管理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31782-2015 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电子商务可信交易要求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31870-2015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企业质量信用报告编写指南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31903-2015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服装衬布产品命名规则、标志和包装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31950-2015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企业诚信管理体系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31952-2015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企业信用档案信息规范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31953-2015</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企业信用评估报告编制指南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22508-2016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食品安全国家标准 原粮储运卫生规范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22080-2016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信息安全管理体系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25067-2016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信息安全管理体系审核和认证机构要求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32670-2016 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32674-2016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网络拍卖规程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32701-2016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家电物流信息管理要求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32702-2016 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32703-2016 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预包装类电子商务交易产品质量信息发布通则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32792-2016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镁合金加工产品包装、标志、运输、贮存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32828-2016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仓储物流自动化系统功能安全规范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32829-2016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装备检维修过程射频识别技术应用规范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32848-2016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国际货运代理包机运输服务质量要求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32849-2016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国际货运代理报检服务质量要求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32851-2016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国际货运代理包舱、包航空集装器（集装箱、集装板）运输服务质量要求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32873-2016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电子商务主体基本信息规范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32920-2016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行业间和组织间通信的信息安全管理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32926-2016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政府部门信息技术服务外包信息安全管理规范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32928-2016 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家用电器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32929-2016 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数码产品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33132-2016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信息安全风险处理实施指南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33155-2016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影像材料 未加工照相胶片和相纸 贮存规范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33172-2016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资产管理 综述、原则和术语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33173-2016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资产管理 管理体系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33174-2016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资产管理 管理体系 GB/T 33173应用指南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33245-2016 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汽车配件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33256-2016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服装商品条码标签应用规范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33257-2016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条码技术在仓储配送业务中的应用指南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33454-2016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仓储货架使用规范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33457-2016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商业网点规划制图规范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33459-2016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商贸托盘射频识别标签应用规范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33460-2016</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报废汽车拆解指导手册编制规范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14013-2017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移动通信设备 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19018-2017 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质量管理 顾客满意 企业-消费者电子商务交易指南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21334-2017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物流园区分类与规划基本要求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23793-2017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合格供应商信用评价规范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27418-2017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测量不确定度评定和表示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28264-2017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起重机械 安全监控管理系统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29246-2017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安全技术 信息安全管理体系 概述和词汇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33491-2017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批发商交易行为规范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33492-2017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旧货（二手货）市场经营管理规范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33493-2017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零售商采购规程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33494-2017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建材家居市场建设及管理技术规范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33635-2017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绿色制造 制造企业绿色供应链管理 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33717-2017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电子商务信用 B2B第三方交易平台信用规范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33718-2017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企业合同信用指标指南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33895-2017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租船合同装卸时间定义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33986-2017  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食品接触塑料制品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33995-2017  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家居产品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34057-2017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网络零售信用基本要求 消费品零售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34058-2017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B2B网络交易卖方信用评价指标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34111-2017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钢铁物流互联网公共商务信息平台建设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34113-2017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钢铁物流互联网信息交互技术规范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34238-2017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清洁蛋加工流通技术规范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34256-2017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农产品购销基本信息描述 热带和亚热带水果类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34257-2017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农产品购销基本信息描述 茄果类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34258-2017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农产品购销基本信息描述 薯芋类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34317-2017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食用菌速冻品流通规范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34318-2017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食用菌干制品流通规范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34343-2017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农产品物流包装容器通用技术要求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34344-2017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农产品物流包装材料通用技术要求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34393-2017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汽车整车出口物流标识规范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34397-2017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托盘共用系统管理规范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34525-2017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气瓶搬运、装卸、储存和使用安全规定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34542.1-2017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氢气储存输送系统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34594-2017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射频识别在供应链中的应用 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34767-2017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水产品销售与配送良好操作规范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34768-2017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果蔬批发市场交易技术规范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34769-2017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肉类批发市场交易技术规范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34770-2017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水产品批发市场交易技术规范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34827-2017 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第三方网络零售平台交易纠纷处理通则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34830.1-2017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信用信息征集规范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35121-2017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全程供应链管理服务平台参考功能框架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35244-2017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消费品质量安全风险信息管理指南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35246-2017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消费品质量安全风险监控相关方指南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35248-2017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消费品安全 供应商指南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35253-2017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产品质量安全风险预警分级导则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35288-2017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电子认证服务机构从业人员岗位技能规范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35411-2017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电子商务平台产品信息展示要求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35419-2017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Ecode在一维条码中的存储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35420-2017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Ecode在二维码中的存储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35421-2017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Ecode在射频标签中的存储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35422-2017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Ecode的注册与管理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35423-2017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Ecode在NFC标签中的存储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35431-2017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信用标准体系总体架构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35434-2017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商贸物流企业信用评价指标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35550-2017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保温集装箱 远程状态监控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35581-2017 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粮食批发市场统一竞价交易管理规范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35744-2017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公用纺织品清洗质量要求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35780.1-2017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顾客联络服务 第1部分：顾客联络中心要求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35780.2-2017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顾客联络服务 第2部分：使用顾客联络中心服务的委托方要求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35781-2017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托盘共用系统塑料平托盘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51239-2017</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粮食钢板筒仓施工与质量验收规范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 4838-2018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农药乳油包装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13145-2018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冷藏集装箱堆场技术管理要求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27021.5-2018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合格评定 管理体系审核认证机构要求 第5部分：资产管理体系审核和认证能力要求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35010.3-2018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半导体芯片产品 第3部分：操作、包装和贮存指南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35873-2018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农产品市场信息采集与质量控制规范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35878-2018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农村日用消费品连锁经营网络规范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36061-2018 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电子商务交易产品可追溯性通用规范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36076-2018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自动作业仓储配送包装箱信息标识通用规范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36078-2018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医药物流配送条码应用规范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36080-2018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条码技术在农产品冷链物流过程中的应用规范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36088-2018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冷链物流信息管理要求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36105-2018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法人和其他组织统一社会信用代码赋码操作规范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36106-2018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法人和其他组织统一社会信用代码数据管理规范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36107-2018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法人和其他组织统一社会信用代码数据交换接口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36298-2018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电子合同订立流程规范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36302-2018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自营型网络零售平台信用管理体系要求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36304-2018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 第三方网络零售平台信用管理体系要求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36311-2018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电子商务管理体系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36314-2018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电子商务企业信用档案信息规范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36317-2018 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家装建材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36319-2018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电子合同基础信息描述规范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36328-2018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软件资产管理 标识规范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36329-2018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软件资产管理 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36379-2018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民间金融资产评价指标分类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36466-2018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工业控制系统风险评估实施指南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36478.1-2018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 信息交换和共享 第1部分：总体架构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36478.2-2018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 信息交换和共享 第2部分：通用技术要求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36599-2018 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36601-2018 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玩具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36602-2018 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塑料材料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36603-2018 </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电子商务交易产品信息描述 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36604-2018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Ecode平台接入规范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36605-2018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物联网标识体系 Ecode解析规范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36609-2018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电子发票基础信息规范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36610-2018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用于微博客的法人和其他组织统一社会信用代码实名认证服务接口规范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36618-2018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金融信息服务安全规范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36637-2018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信息安全技术 ICT供应链安全风险管理指南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36683-2018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汽车售后服务评价规范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36684-2018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汽车售后零配件市场服务规范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36686-2018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汽车售后服务规范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36759-2018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葡萄酒生产追溯实施指南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36911-2018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运输包装指南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37060-2018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农产品流通信息管理技术通则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37102-2018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物流园区绩效指标体系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37105-2018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药品包装上的盲文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37146-2018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跨境电子商务电子舱单基础信息描述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37148-2018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跨境电子商务电子报关单基础信息描述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37149-2018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统一社会信用代码地理信息采集规范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5601-2018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铁道货车检查与试验规则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8082-2018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天然生胶 技术分级橡胶（TSR） 包装、标志、贮存和运输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GB/Z 36442.1-2018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用于物品管理的射频识别 实现指南 第1部分：无源超高频RFID标签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GB/Z 36442.3-2018</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 用于物品管理的射频识别 实现指南 第3部分：超高频RFID读写器系统在物流应用中的实现和操作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20572-2019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天然肠衣生产HACCP应用规范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24358-2019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物流中心分类与规划基本要求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37425-2019</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 非危险货物用柔性中型散装容器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38703-2020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汽车货运代理服务质量要求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38708-2020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国际贸易货物交付与货款支付的风险控制与防范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38709-2020</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国际货运代理铁路联运作业规范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40042-2021</w:t>
            </w:r>
          </w:p>
        </w:tc>
        <w:tc>
          <w:tcPr>
            <w:tcW w:w="3274"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绿色餐饮经营与管理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10008-1992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冷冻饮品的检验规则、标志、包装、运输及贮存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10035-1992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茶叶销售包装通用技术条件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10036-1992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紧压茶运输包装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10037-1992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红茶、绿茶、花茶运输包装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10061-1992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苹果、柑桔包装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10064-1992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苹果销售质量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10094-1992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毛茶运输包装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10095-1992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茶叶储藏养护通用技术条件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10192-1993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板栗储藏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10196-1993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果酱通用技术条件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10269-1996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照相业开业的专业条件和技术要求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10271-1996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洗染开业的专业条件和技术要求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10285-1997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花椰菜冷藏技术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10288-1997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黄瓜贮藏与运输技术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10328-1999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中国烹饪、摄影、美发美容名师大师评定条件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10334-2000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连锁超级市场、便利店管理通用要求 总部管理规范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10335-2000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连锁超级市场、便利店管理通用要求 门店管理规范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10362-2003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中式肉制品安全产品质量认证评审准则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10367-2003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肉干制品安全产品质量认证评审准则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10372-2003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商业职业经理人执业资格认定规范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10375-2004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零售业信息化指标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10382-2004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服务管理体系规范及实施指南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10390-2004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成品油零售企业管理技术规范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10368-2005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微型计算机及其外围设备维修服务部等级评定规范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10391-2005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酒类商品批发经营管理规范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10392-2005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酒类商品零售经营管理规范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10393-2005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农家店建设与改造规范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10397-2005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招商制建材家居市场建设及管理技术规范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10400-2006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超市购物环境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10401-2006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商品售后服务评价体系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10406-2007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蚕桑生产基地评价方法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10409-2007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商业服务业顾客满意度测评规范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10410-2007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特许经营管理体系指南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10411-2007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商务策划评价规范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10420-2007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饭店业星级服务人员资格条件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10421-2007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农家乐经营规范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10426-2007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餐饮企业经营规范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10427-2007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大型商场、超市空调制冷的节能要求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10428-2007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初级生鲜食品配送良好操作规范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10429-2007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家电专业店经营规范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10437-2007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美容美发行业经营管理技术规范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10441-2007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足浴保健经营技术规范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10442-2007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沐浴业经营技术规范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10443-2007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早餐经营规范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10444-2007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商贸企业信用管理技术规范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10445-2007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成品油仓储企业管理技术规范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10446-2007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成品油批发企业管理技术规范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10448-2007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热带水果和蔬菜包装与运输操作规程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10449-2007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番茄 冷藏和冷藏运输指南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10450-2007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胡萝卜购销等级要求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10451-2007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苦瓜购销等级要求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10452-2007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长辣椒购销等级要求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10360-2008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安全肉制品质量认证评审准则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10455-2008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社区商业设施设置与功能要求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10467-2008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零售商供应商公平交易行为规范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10470-2008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温泉服务业经营技术规范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10471-2008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调味品经销商经营管理规范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10474-2008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餐饮业营养配餐技术要求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10476-2008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饭店服务礼仪规范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10478-2008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餐饮业职业经理人条件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10479-2008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饭店业星级侍酒师条件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10481-2008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低温肉制品质量安全要求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10482-2008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预制肉类食品质量安全要求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10504-2008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纺织服装专业市场建设及管理技术规范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10505-2008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尾货市场经营管理技术规范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10509-2008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SPA经营技术规范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10510-2008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商品陈列师专业技术要求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10511-2008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服饰色彩咨询师技术要求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10512.1-2008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零售业基层岗位技能要求 营业员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10512.2-2008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零售业基层岗位技能要求 收货员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10512.4-2008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零售业基层岗位技能要求 生鲜工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10512.5-2008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零售业基层岗位技能要求 收银员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10516-2008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散装水泥农村配送站技术规范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10517-2009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商业街管理技术规范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10518-2009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电子商务模式规范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10520-2009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超市节能规范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10522-2009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饭店信息化管理设施条件与规范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10523-2009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水产品批发交易规程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10524-2009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鲜活对虾购销规范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10529-2009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二手设备流通技术规范 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10532-2009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沐浴企业等级划分技术要求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10539.1-2009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动产典当操作技术规范 第1部分：贵金属、珠宝玉石和钟表典当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10540-2009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足浴保健企业等级划分技术要求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10543-2009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房间空气调节器拆解清洗维护规范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10512.6-2010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零售业基层岗位技能要求 前台接待员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10521-2009</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超市防损经理岗位要求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10559-2010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主食加工配送中心建设规范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10560-2010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中央储备边销茶储存库资质条件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10572-2010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黄瓜流通规范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10573-2010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青椒流通规范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10574-2010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番茄流通规范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10575-2010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豇豆流通规范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10576-2010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冬瓜流通规范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10577-2010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鲜食马铃薯流通规范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10578-2010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洋葱流通规范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10568-2010</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连锁店店长岗位技能通用要求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10579-2011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商品验货通则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10580-2011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餐饮业现场管理规范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10582-2011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健康客房技术规范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10583-2011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净菜加工和配送技术要求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10584-2011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皮革和毛皮市场管理技术规范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10585-2011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T恤衫商品验收技术要求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10586-2011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羽绒服商品验收技术要求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10587-2011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功能性纺织纤维制品商品验收技术要求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10588-2011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袜子商品验收技术要求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10589-2011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原油销售企业管理技术规范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10590-2011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原油仓储企业管理技术规范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10591-2011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加油站服务技术规范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10592-2011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成品油仓储企业服务技术规范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10593-2011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原油仓储企业服务技术规范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10594-2011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集中空调通风系统清洗行业技术管理规范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10597-2011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农村日用消费品配送中心运营管理规范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10598-2011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农资配送中心运营管理规范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10599-2011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购物中心建设及管理技术规范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10605-2011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木材防腐企业分类与评价指标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10618-2011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超市收货规范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10619-2011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零售业自有品牌开发与经营管理规范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10620-2011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零售业品类管理指南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10621-2011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超市鲜活农产品供应商评价指标体系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10622-2011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超市现场加工食品经营规范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10623-2011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超市基地直采供应链建设规范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10626-2011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钢材流通企业经营管理分级评定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10627-2011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钢材加工配送中心建设管理规范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10630-2011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豆制品现场加工管理技术规范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10636-2011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零售企业服务质量评价准则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10640-2011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洁蛋流通技术规范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10644-2011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SPA技师技能要求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10645-2011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沐浴企业服务质量要求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10647-2011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干混砂浆质量管理规程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10345.2-2012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制冷系统和热泵 安全和环境要求 第2部分：设计、建造、试验、标记与文件编制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10345.3-2012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制冷系统和热泵 安全和环境要求 第3部分：安装地点和人身保护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10345.4-2012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制冷系统和热泵 安全和环境要求 第4部分：操作、维护、检修和回收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10358-2012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专业性展览会等级的划分及评定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猪屠宰分割安全产品质量认证评审准则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牛屠宰分割安全产品质量认证评审准则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羊屠宰分割安全产品质量认证评审准则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10366-2012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禽屠宰分割安全产品质量认证评审准则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10468.2-2012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轮胎理赔技术规范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室内装饰类纺织商品验收技术要求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婴幼儿服装商品验收技术要求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10539.2-2012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动产典当操作技术规范 第2部分：机动车典当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10655-2012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商用旧轮胎回收选胎规范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10664-2012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采购经理岗位要求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10665-2012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零售商采购质量审核规范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10666-2012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零售商问题商品管理规范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10667-2012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零售商与供应商货款结算规范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10668-2012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零售商与供应商供应链平台功能规范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10669-2012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连锁超市营运关键绩效指标（KPI）体系及考核评估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10674-2012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二手装载机流通技术要求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10675-2012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二手挖掘机流通技术要求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10676-2012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二手混凝土泵车流通技术要求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10677-2012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二手流动式起重机流通技术要求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皮革和毛皮服装专业店管理技术规范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二手货（旧货）经营企业经营管理规范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10689-2012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寄卖店经营管理技术要求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10698-2012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库存积压商品流通技术规范 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小商品市场管理技术规范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商业零售业同质竞争管理规范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零售业ERP系统基本功能要求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零售业POS系统基本功能要求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零售业招商员岗位技能通用要求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零售业采购员岗位技能通用要求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灯具交易市场建设和经营管理规范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摄影器材交易市场建设和经营管理规范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文化用品交易市场建设和经营管理规范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10709-2012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农家店管理信息系统功能要求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葡萄酒原酒流通技术规范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葡萄酒运输、贮存技术规范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白酒原酒及基酒流通技术规范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芹菜流通规范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胡萝卜贮藏指南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甜椒冷藏和运输指南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栽培蘑菇冷藏和冷藏运输指南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10719-2012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再生资源回收站点建设管理规范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金属材料电子商务平台建设与管理规范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预拌砂浆生产及其装备制造企业等级评价规范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木质门安装规范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木质门修理、更换和退货规范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易腐食品冷藏链操作规范 果蔬类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易腐食品冷藏链操作规范 畜禽肉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营养师岗位技能要求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茶艺师岗位技能要求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咖啡调配师岗位技能要求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火锅调配师岗位技能要求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高空外墙清洗服务规范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10745-2012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水上加油船管理技术规范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商业特许经营管理规范 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品牌管理专业人员技术条件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百货店服务人员等级评定规范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零售药店经营服务规范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药品流通企业诚信经营准则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药品流通行业职业经理人标准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药品流通企业通用岗位设置规范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药品批发企业物流服务能力评估指标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洗染服务合约技术规范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西服、西裤熨烫质量要求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公用纺织品清洗质量要求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纺织商品验收规范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茄子流通规范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西葫芦流通规范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电子提单格式规范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10799-2012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国际货运代理海运提单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国际货运代理多式联运提单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电子航空货运分运单格式规范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零售业合同能源管理实施指南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零售商店节能低碳评定标准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零售箱码应用指南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零售门店盘点管理规范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零售店铺应急处理指南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专业零售店店长岗位要求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便利店服务类别及运营规范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10809-2012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特许连锁企业督导岗位职责规范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连锁专卖企业互联网零售运营指南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连锁经营企业总部后台信息管理规范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购物中心业态组合规范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超市废弃物处理指南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商业特许经营合同规范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加油站非油品特许经营管理规范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企业商业特许经营法律事务服务规范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特许企业规范经营评价指南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10819-2012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特许人经营体系成熟度与服务能力评定规范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农村商业店铺和商业企业等级划分规范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网络团购企业管理规范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网络团购企业信用评价体系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畜禽肉制品加工中使用非肉类蛋白质制品导则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速冻食品物流规范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豆制品良好流通规范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百货店促销活动规范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百货店购物环境设施要求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百货店会员服务体系要求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百货店客户关系管理系统基本功能要求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废旧轮胎回收体系建设规范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商品折扣规范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库存积压商品市场经营管理规范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专业组展企业资质评估指标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10839-2012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展览服务（布展工程）企业资质评估指标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10848-2012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家政服务员培训规范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10849-2012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家政服务业应急快速反应规范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区域性大型再生资源回收利用基地建设管理规范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会议中心运营服务规范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展览场馆运营服务规范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展览服务（布展工程）单位经营服务规范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商业特许经营管理规范 居民服务业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商业特许经营管理规范 住宿餐饮业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团餐管理服务规范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餐饮企业信用等级评价规范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二手叉车流通技术要求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二手沥青搅拌设备流通技术要求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二手沥青搅拌设备技术说明书编制规则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10870.1-2012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农产品产地集配中心建设规范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农产品销地交易配送专区建设规范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农产品批发市场商品经营管理规范 第1部分：茶叶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生鲜农产品配送中心管理技术规范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肉蛋制品加工厂节水要求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淡水小龙虾购销规范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冷冻对虾购销规范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10879-2012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大白菜流通规范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萝卜流通规范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南瓜流通规范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佛手瓜流通规范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火龙果流通规范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香蕉流通规范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莲雾流通规范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蒜苔保鲜贮藏技术规范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畜禽肉批发交易规程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10889-2012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预包装蔬菜流通规范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10890-2012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预包装水果流通规范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10891-2012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预包装鲜梨流通规范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10892-2012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预包装鲜苹果流通规范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10893-2012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预包装鲜食莲藕流通规范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预包装鲜食葡萄流通规范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鲜蛋包装与标识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废钢铁加工配送中心建设规范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10899-2012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废电视机回收技术规范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循环再生建筑材料流通技术规范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百货专业批发市场建设和管理技术规范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零售企业卖场安全要求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网店信用评估要素指南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10919-2012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农产品批发市场检测室技术规范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轮胎理赔鉴定人员专业技术要求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轮胎网上交易服务经营规范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10954-2012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消费品理赔通用技术要求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10955-2012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商品标价签通用技术条件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10956-2012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学生服商品验收规范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10957-2012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被类商品验收规范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11158-2016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特许人信用评级标准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SB/T10678-2012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主食冷链配送良好操作规范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SB/T10679-2012</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主食加工配送中心良好生产规范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10398.2-2013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旧货品质鉴定 第2部分：旧电器电子产品鉴定要求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10468.1-2013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轮胎营销运营管理规范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10469-2013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电子商务商品营销运营规范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10512.3-2013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零售业基层岗位技能要求 第3部分：防损员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10959-2013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零售企业服务管理规范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零售企业信用等级评价规范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流通企业食品安全预警体系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商品经营企业服务质量评价体系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商业服务业企业社会责任评价准则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10964-2013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鞋专业店管理技术规范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媒体购物经营要求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芦笋流通规范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红辣椒干流通规范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10968-2013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加工用马铃薯流通规范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木材与木制品交易市场管理规范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装饰装修材料售后服务管理规范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建材及装饰材料安全使用技术导则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钢铁流通企业诚信体系建设与管理规范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10974-2013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钢铁流通行业信息管理规范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二手设备鉴定估价人员岗位技能要求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二手设备市场建设与管理规范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仓储作业规范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动产质押监管服务规范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10979-2013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质押监管企业评估指标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家政服务网络中心建设技术规范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家政服务网络中心运营管理规范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洗染店达标条件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衣物洗涤质量要求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丝绸 缫丝生产企业管理规范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酒类行业流通服务规范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11004-2013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电子提单(物权凭证)使用规范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电子一般原产地证明书格式规范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国际货物买卖合同核心要素规范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用于贸易融资的电子信息查询规范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电子合同在线订立流程规范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单用途商业预付卡发行服务规范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特色商业街评价指南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11014-2013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沐浴企业节水技术要求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美发服务操作流程和服务质量要求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美发美容企业信用等级评价标准和评价指标体系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鲜活水产品专卖店设置要求和管理规范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社区菜店设置要求和管理规范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果脯类流通规范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浆果类果品流通规范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干果类果品流通规范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柑橘类果品流通规范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11029-2013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瓜类蔬菜流通规范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瓜类贮运保鲜技术规范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块茎类蔬菜流通规范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冷冻水产品购销技术规范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农业机械交易市场建设管理规范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农业机械品牌经销店技术规范和等级划分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药品物流设施与设备技术要求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家用和类似用途电器的安全 商用制冰机的特殊要求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饭店业碳排放管理规范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建设节约型餐饮企业规范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餐饮服务突发事件应急处置规范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废金属回收企业建设与经营规范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商场食品零售关键控制点及评价方法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电子商务信用评价指标体系 网络零售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电子商务售后服务评价准则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奥特莱斯企业经营管理要求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11054-2013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百货店配套服务设施配置规范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皮帽采购验收规范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二手推土机流通技术要求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11057-2013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二手混凝土搅拌运输车流通技术要求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基于二维条码的瓶装酒追溯与防伪应用规范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11061-2013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茶叶交易市场建设和经营管理规范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11062-2013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花卉交易市场建设和经营管理规范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11063-2013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鞋业交易市场建设和经营管理规范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11064-2013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五金机电市场建设和经营管理规范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农产品市场突发事件应急供应管理规范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农产品市场交易行为规范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11067-2013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金属材料仓储技术与管理规范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11068-2013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网络零售仓储作业规范与评价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11069-2013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城市配送统计指标体系及绩效评估方法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11070-2013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餐饮服务企业打包服务管理要求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11075-2013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民用眼镜类商品验收规范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11076-2013</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民用钟表类商品验收规范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11081-2014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单用途商业预付卡业务系统规范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11082-2014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单用途商业预付卡发卡企业信用评价标准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11083-2014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商品用电子标签应用规范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11085-2014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零售商退货流程管理规范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11086-2014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零售商门店能耗管理评价规范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11088-2014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化妆品专业店、专卖店经营管理规范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11089-2014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职业院校商业与贸易类专业人才培养能力建设与评价规范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11090-2014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会展业节能降耗工作规范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11091-2014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冷库节能运行技术规范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11094-2014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中药材仓储管理规范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11095-2014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中药材仓库技术规范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11096-2014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农产品批发市场信用评价规范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11097-2014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农产品批发市场信息中心建设与管理技术规范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11099-2014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食用菌流通规范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11100-2014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仁果类果品流通规范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11101-2014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荔果类果品流通规范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11105-2014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库存商品易货交易规范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11107-2014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废轮胎回收与管理规范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11108-2014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废玻璃回收分拣技术规范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11109-2014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废旧商品回收分拣集聚区建设管理规范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11110-2014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废纸塑铝复合包装物回收分拣技术规范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11111-2014</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再生资源回收站点交易行为规范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10119-2015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光面革皮衣护理规范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10349-2015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家用电器连锁维修服务组织等级评定规范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10724-2015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建筑装饰材料流通企业经营管理规范及等级划分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10727-2015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环保型建材及装饰材料技术要求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11112-2015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电子商务企业认定规范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11113-2015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贸易融资业务中第三方提供电子贸易信息查询服务规范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11114-2015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电视购物诚信服务体系评价指南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11121-2015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大众化餐饮评价指标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11123-2015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连锁企业酒类商品分销管理规范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11128-2015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箱包皮具交易市场建设和经营管理规范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11133-2015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电子商务商品理赔技术要求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11134-2015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电子商务商品标价通用技术条件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11138-2015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家电服务维修企业经理人员岗位要求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11140-2015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快餐企业经营规范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11141-2015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餐饮企业连锁经营规范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11142-2015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餐饮服务经营者与消费者订立合同的规范要求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11143-2015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餐饮分餐服务操作规范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11144-2015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二手车流通企业经营管理规范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11145-2015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眼镜交易市场建设和经营管理规范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11146-2015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建材家居供应商管理规范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11148-2015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防腐木材采购指南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11149-2015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废塑料回收分选技术规范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11150-2015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中药材气调养护技术规范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11151-2015</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冷链配送低碳化评估标准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11153-2016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托盘共用系统运营管理规范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11154-2016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共用系统托盘质量验收规范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11155-2016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电子商务物流服务信息系统成熟度等级规范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11156-2016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电子商务物流信用评价体系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11157-2016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电子商务商贸服务标价通用技术条件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11159-2016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零售商供应商商品购销合同规范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11160-2016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报废汽车破碎技术规范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11162-2016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展台分类及技术规范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11164-2016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绿色仓库要求与评价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11165-2016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集成家装产品售后安装技术规范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11166-2016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餐饮企业节约管理规范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11168-2016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餐饮烹炸操作规范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11178-2016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闲置消费品交换集市基本要求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11179-2016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旧货市场交易规程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11180-2016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库存折扣商品网上交易管理规范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11181-2016</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国际物流信息系统数据接口规范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10538-2017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文物艺术品拍卖规程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11182-2017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中药材包装技术规范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11183-2017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中药材产地加工技术规范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11184-2017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药品流通企业关键绩效指标体系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11185-2017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药品批发企业对供应商管理规范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11186-2017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租赁承包用脚手架采购指南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11188-2017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鞋类专卖店管理技术规范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11189-2017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废旧手机网络交易规范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11197-2017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电子商务商品验收规范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11199-2017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零售业特许经营技术指南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11200-2017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零售业商品管理绩效指标（KPI）体系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11203-2017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自助洗衣店开业条件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11209-2017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清洁产品流通管理规范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11211-2017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建筑工程材料采购与验收技术规范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11213-2017</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预拌混凝土物流管理规范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10691-2018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机动车拍卖规程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11216-2018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电子商务企业信用信息共享规范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11217-2018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环保展台评定标准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11218-2018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国家生丝储备仓库条件要求及管理规范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11219-2018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零售商品条码实施指南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11220-2018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零售物流单元商品条码实施指南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906</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11221-2018</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客户服务专业人员技术要求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907</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10690-2021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不动产拍卖规程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908</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10692-2021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拍卖师操作规范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909</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10720-2021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再生资源绿色分拣中心建设管理规范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910</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11224-2021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家政服务信用档案建立基本要求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911</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11225-2021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桑蚕鲜茧收购技术要求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912</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11227-2021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电子商务企业诚信档案评价规范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913</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11229-2021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互联网旧货交易平台建设和管理规范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914</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11230-2021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旧货经营商信用管理规范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915</w:t>
            </w:r>
          </w:p>
        </w:tc>
        <w:tc>
          <w:tcPr>
            <w:tcW w:w="1247"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11231-2021</w:t>
            </w:r>
          </w:p>
        </w:tc>
        <w:tc>
          <w:tcPr>
            <w:tcW w:w="3274"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环保展台设计制作指南</w:t>
            </w:r>
          </w:p>
        </w:tc>
      </w:tr>
    </w:tbl>
    <w:p>
      <w:pPr>
        <w:adjustRightInd w:val="0"/>
        <w:spacing w:line="360" w:lineRule="auto"/>
        <w:jc w:val="left"/>
        <w:rPr>
          <w:b/>
          <w:kern w:val="44"/>
          <w:sz w:val="28"/>
          <w:szCs w:val="28"/>
        </w:rPr>
      </w:pPr>
      <w:r>
        <w:rPr>
          <w:rFonts w:hint="eastAsia" w:ascii="黑体" w:hAnsi="黑体" w:eastAsia="黑体" w:cs="黑体"/>
          <w:bCs/>
          <w:color w:val="000000"/>
          <w:sz w:val="32"/>
          <w:szCs w:val="32"/>
        </w:rPr>
        <w:t>六、服务标准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127"/>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9"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48" w:type="pc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标准号</w:t>
            </w:r>
          </w:p>
        </w:tc>
        <w:tc>
          <w:tcPr>
            <w:tcW w:w="3273"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16177-2007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公共航空运输服务质量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21071-2007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25503-2010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城镇燃气燃烧器具销售和售后服务要求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26316-2010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市场、民意和社会调查 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27917.3-2011</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快递服务 第3部分：服务环节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28580-2012</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口岸物流服务质量规范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29911-2013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汽车租赁服务规范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30333-2013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物流服务合同准则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30334-2013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物流园区服务规范及评估指标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30335-2013</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药品物流服务规范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31080-2014</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水产品冷链物流服务规范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33446-2016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家电物流服务通用要求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33461-2016</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家电延保服务规范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33495-2017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农村地区家电维修服务规范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33496-2017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政府采购电子电器服务规范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35105-2017</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鲜食果蔬城市配送中心服务规范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36463.1-2018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信息技术服务 咨询设计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37070-2018</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农业生产资料供应服务 农资仓储服务规范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37503-2019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物流公共信息平台服务质量要求与测评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37680-2019</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农业生产资料供应服务 农资配送服务质量要求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GB/T 39052-2020</w:t>
            </w:r>
          </w:p>
        </w:tc>
        <w:tc>
          <w:tcPr>
            <w:tcW w:w="3273" w:type="pc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公共资源拍卖中心建设与服务规范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10438.1-2007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摄影业服务规范  第1部分：摄影服务规范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10438.2-2008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摄影业服务规范 第2部分：摄像服务规范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10438.4-2008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摄影业服务规范 第4部分：摄影器材销售服务规范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10457-2008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家用平板电视接收机安装和维修服务技术规范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10475-2008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经济型饭店经营服务规范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10480-2008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家用空气调节器拆装和维修服务的技术规范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10438.3-2009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摄影业服务规范 第3部分 照片输出服务规范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10519-2009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网络交易服务规范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10531-2009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火锅企业经营服务规范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10541-2009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房间空气调节器安装服务规范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10542-2009</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房间空气调节器拆装服务质量检验规范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10595-2011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清洁行业经营服务规范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10624-2011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洗染业服务经营规范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10625-2011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洗染业服务质量要求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10643-2011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10653-2012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珠宝饰品经营服务规范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10654-2012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茶馆经营服务规范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10736-2012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酒吧经营服务规范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10738-2012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空调设备换热器翅片表面污垢专业清洗服务规范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10769-2012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基于射频识别的瓶装酒追溯与防伪查询服务流程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10782-2012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钟表销售服务规范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10825-2012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加工食品销售服务要求 速冻食品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10826-2012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加工食品销售服务要求 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10857-2012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餐饮配送服务规范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10859-2012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婚庆接待服务规范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10863-2012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家用电冰箱维修服务技术规范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10864-2012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家用燃气灶具拆装和维修服务技术规范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10865-2012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家用电动洗衣机拆装和维修服务技术规范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10866-2012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家用平板电视接收机安装架技术规范与使用要求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10867-2012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家用储水式电热水器拆装和维修服务技术规范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10868-2012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家用燃气快速热水器拆装和维修服务技术规范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10869-2012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家用生活饮用水反渗透处理器具拆装和维修服务技术规范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10902-2012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寄卖店服务规范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10903-2012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家居行业经营服务规范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10943-2012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家庭陪护服务规范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10944-2012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居家养老服务规范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10984-2013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家庭母婴护理服务规范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10985-2013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家庭保洁服务规范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10986-2013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代办代购服务规范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10987-2013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早教服务规范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10991-2013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美容院服务规范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10992-2013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美容服务 面部护理操作技术要求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10993-2013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家用中央空调拆装和维修服务技术要求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10994-2013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家用吸油烟机拆装和维修服务技术规范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10995-2013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家用及类似用途热泵热水器安装和维修服务技术规范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11005-2013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电子提单(物权登记)服务系统规范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11013-2013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整体橱柜售后服务规范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11015-2013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沐浴业擦背技术要求及服务规范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11016-2013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足部保健按摩服务规范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11017-2013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修脚服务规范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11034-2013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农业机械营销企业服务质量规范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11037-2013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医药商业企业对医疗机构的服务规范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11043-2013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餐饮业服务质量评估体系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11044-2013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文化主题饭店经营服务规范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11045-2013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商务饭店经营服务规范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11071-2013</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咖啡厅经营服务规范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11104-2014</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家用吸油烟机清洗服务规范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11106-2014</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二手钟表寄售经营服务规范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11116-2015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美甲机构服务规范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11117-2015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美容院SPA磨砂护肤技术要求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11118-2015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移动通讯终端售后服务规范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11120-2015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衣物织补规范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11132-2015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电子商务物流服务规范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11136-2015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家政服务钟点服务质量规范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11147-2015</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红木类商品销售及售后服务管理规范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10934.1-2012</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常用中餐菜名标准双语译法 第1部分：中译英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10934.2-2016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常用中餐菜名标准双语译法 第2部分：中译西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10934.3-2016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常用中餐菜名标准双语译法 第3部分：中译法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11152-2016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托盘租赁企业服务规范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11163-2016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配送自助提货柜服务规范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11167-2016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餐饮点餐服务规范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11170-2016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家电接修服务规范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11171-2016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家电上门维修服务规范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11172-2016</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家电维修服务质量评价规范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11196-2017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进口葡萄酒经营服务规范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11198-2017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商贸物流园区建设与运营服务规范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11201-2017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基于网络零售开放平台的电子商务服务商服务规范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11202-2017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第三方网络零售平台为入驻商户提供的基本服务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11204-2017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衣物清洗服务规范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11205-2017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公用纺织品清洗服务规范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11210-2017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木质门销售及服务规范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11212-2017</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新型建筑材料售后服务规范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11222-2018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管理咨询服务规范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11223-2018</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管理培训服务规范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11226-2021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洗染业O2O服务流程及规范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9" w:type="pc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1248"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SB/T 11228-2021</w:t>
            </w:r>
          </w:p>
        </w:tc>
        <w:tc>
          <w:tcPr>
            <w:tcW w:w="3273" w:type="pct"/>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宴席节约服务规范</w:t>
            </w:r>
          </w:p>
        </w:tc>
      </w:tr>
    </w:tbl>
    <w:p>
      <w:pPr>
        <w:rPr>
          <w:rFonts w:ascii="宋体" w:hAnsi="宋体"/>
          <w:sz w:val="32"/>
          <w:szCs w:val="32"/>
        </w:rPr>
      </w:pPr>
    </w:p>
    <w:p>
      <w:pPr>
        <w:rPr>
          <w:rFonts w:ascii="宋体" w:hAnsi="宋体"/>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方正小标宋简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楷体"/>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20600040101010101"/>
    <w:charset w:val="86"/>
    <w:family w:val="auto"/>
    <w:pitch w:val="default"/>
    <w:sig w:usb0="00000000" w:usb1="00000000" w:usb2="00000016"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1"/>
        <w:szCs w:val="21"/>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8889394"/>
                            <w:docPartObj>
                              <w:docPartGallery w:val="autotext"/>
                            </w:docPartObj>
                          </w:sdtPr>
                          <w:sdtEndPr>
                            <w:rPr>
                              <w:sz w:val="21"/>
                              <w:szCs w:val="21"/>
                            </w:rPr>
                          </w:sdtEndPr>
                          <w:sdtContent>
                            <w:p>
                              <w:pPr>
                                <w:pStyle w:val="9"/>
                                <w:jc w:val="right"/>
                                <w:rPr>
                                  <w:sz w:val="21"/>
                                  <w:szCs w:val="21"/>
                                </w:rPr>
                              </w:pPr>
                              <w:r>
                                <w:rPr>
                                  <w:rFonts w:hint="default" w:asciiTheme="minorAscii" w:hAnsiTheme="minorAscii"/>
                                  <w:sz w:val="21"/>
                                  <w:szCs w:val="21"/>
                                </w:rPr>
                                <w:fldChar w:fldCharType="begin"/>
                              </w:r>
                              <w:r>
                                <w:rPr>
                                  <w:rFonts w:hint="default" w:asciiTheme="minorAscii" w:hAnsiTheme="minorAscii"/>
                                  <w:sz w:val="21"/>
                                  <w:szCs w:val="21"/>
                                </w:rPr>
                                <w:instrText xml:space="preserve">PAGE   \* MERGEFORMAT</w:instrText>
                              </w:r>
                              <w:r>
                                <w:rPr>
                                  <w:rFonts w:hint="default" w:asciiTheme="minorAscii" w:hAnsiTheme="minorAscii"/>
                                  <w:sz w:val="21"/>
                                  <w:szCs w:val="21"/>
                                </w:rPr>
                                <w:fldChar w:fldCharType="separate"/>
                              </w:r>
                              <w:r>
                                <w:rPr>
                                  <w:rFonts w:hint="default" w:asciiTheme="minorAscii" w:hAnsiTheme="minorAscii"/>
                                  <w:sz w:val="21"/>
                                  <w:szCs w:val="21"/>
                                  <w:lang w:val="zh-CN"/>
                                </w:rPr>
                                <w:t>2</w:t>
                              </w:r>
                              <w:r>
                                <w:rPr>
                                  <w:rFonts w:hint="default" w:asciiTheme="minorAscii" w:hAnsiTheme="minorAscii"/>
                                  <w:sz w:val="21"/>
                                  <w:szCs w:val="21"/>
                                </w:rPr>
                                <w:fldChar w:fldCharType="end"/>
                              </w:r>
                            </w:p>
                          </w:sdtContent>
                        </w:sdt>
                        <w:p>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sdt>
                    <w:sdtPr>
                      <w:id w:val="1588889394"/>
                      <w:docPartObj>
                        <w:docPartGallery w:val="autotext"/>
                      </w:docPartObj>
                    </w:sdtPr>
                    <w:sdtEndPr>
                      <w:rPr>
                        <w:sz w:val="21"/>
                        <w:szCs w:val="21"/>
                      </w:rPr>
                    </w:sdtEndPr>
                    <w:sdtContent>
                      <w:p>
                        <w:pPr>
                          <w:pStyle w:val="9"/>
                          <w:jc w:val="right"/>
                          <w:rPr>
                            <w:sz w:val="21"/>
                            <w:szCs w:val="21"/>
                          </w:rPr>
                        </w:pPr>
                        <w:r>
                          <w:rPr>
                            <w:rFonts w:hint="default" w:asciiTheme="minorAscii" w:hAnsiTheme="minorAscii"/>
                            <w:sz w:val="21"/>
                            <w:szCs w:val="21"/>
                          </w:rPr>
                          <w:fldChar w:fldCharType="begin"/>
                        </w:r>
                        <w:r>
                          <w:rPr>
                            <w:rFonts w:hint="default" w:asciiTheme="minorAscii" w:hAnsiTheme="minorAscii"/>
                            <w:sz w:val="21"/>
                            <w:szCs w:val="21"/>
                          </w:rPr>
                          <w:instrText xml:space="preserve">PAGE   \* MERGEFORMAT</w:instrText>
                        </w:r>
                        <w:r>
                          <w:rPr>
                            <w:rFonts w:hint="default" w:asciiTheme="minorAscii" w:hAnsiTheme="minorAscii"/>
                            <w:sz w:val="21"/>
                            <w:szCs w:val="21"/>
                          </w:rPr>
                          <w:fldChar w:fldCharType="separate"/>
                        </w:r>
                        <w:r>
                          <w:rPr>
                            <w:rFonts w:hint="default" w:asciiTheme="minorAscii" w:hAnsiTheme="minorAscii"/>
                            <w:sz w:val="21"/>
                            <w:szCs w:val="21"/>
                            <w:lang w:val="zh-CN"/>
                          </w:rPr>
                          <w:t>2</w:t>
                        </w:r>
                        <w:r>
                          <w:rPr>
                            <w:rFonts w:hint="default" w:asciiTheme="minorAscii" w:hAnsiTheme="minorAscii"/>
                            <w:sz w:val="21"/>
                            <w:szCs w:val="21"/>
                          </w:rPr>
                          <w:fldChar w:fldCharType="end"/>
                        </w:r>
                      </w:p>
                    </w:sdtContent>
                  </w:sdt>
                  <w:p>
                    <w:pPr>
                      <w:rPr>
                        <w:sz w:val="21"/>
                        <w:szCs w:val="21"/>
                      </w:rPr>
                    </w:pPr>
                  </w:p>
                </w:txbxContent>
              </v:textbox>
            </v:shape>
          </w:pict>
        </mc:Fallback>
      </mc:AlternateContent>
    </w:r>
  </w:p>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20"/>
                            </w:rPr>
                          </w:pPr>
                          <w:r>
                            <w:rPr>
                              <w:rStyle w:val="20"/>
                            </w:rPr>
                            <w:fldChar w:fldCharType="begin"/>
                          </w:r>
                          <w:r>
                            <w:rPr>
                              <w:rStyle w:val="20"/>
                            </w:rPr>
                            <w:instrText xml:space="preserve">PAGE  </w:instrText>
                          </w:r>
                          <w:r>
                            <w:rPr>
                              <w:rStyle w:val="20"/>
                            </w:rPr>
                            <w:fldChar w:fldCharType="separate"/>
                          </w:r>
                          <w:r>
                            <w:rPr>
                              <w:rStyle w:val="20"/>
                            </w:rPr>
                            <w:t>164</w:t>
                          </w:r>
                          <w:r>
                            <w:rPr>
                              <w:rStyle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rPr>
                        <w:rStyle w:val="20"/>
                      </w:rPr>
                    </w:pPr>
                    <w:r>
                      <w:rPr>
                        <w:rStyle w:val="20"/>
                      </w:rPr>
                      <w:fldChar w:fldCharType="begin"/>
                    </w:r>
                    <w:r>
                      <w:rPr>
                        <w:rStyle w:val="20"/>
                      </w:rPr>
                      <w:instrText xml:space="preserve">PAGE  </w:instrText>
                    </w:r>
                    <w:r>
                      <w:rPr>
                        <w:rStyle w:val="20"/>
                      </w:rPr>
                      <w:fldChar w:fldCharType="separate"/>
                    </w:r>
                    <w:r>
                      <w:rPr>
                        <w:rStyle w:val="20"/>
                      </w:rPr>
                      <w:t>164</w:t>
                    </w:r>
                    <w:r>
                      <w:rPr>
                        <w:rStyle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pPr>
      <w:pStyle w:val="1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E8A18"/>
    <w:multiLevelType w:val="singleLevel"/>
    <w:tmpl w:val="AE6E8A18"/>
    <w:lvl w:ilvl="0" w:tentative="0">
      <w:start w:val="1"/>
      <w:numFmt w:val="lowerLetter"/>
      <w:suff w:val="space"/>
      <w:lvlText w:val="%1)"/>
      <w:lvlJc w:val="left"/>
    </w:lvl>
  </w:abstractNum>
  <w:abstractNum w:abstractNumId="1">
    <w:nsid w:val="BFF9B6D3"/>
    <w:multiLevelType w:val="singleLevel"/>
    <w:tmpl w:val="BFF9B6D3"/>
    <w:lvl w:ilvl="0" w:tentative="0">
      <w:start w:val="1"/>
      <w:numFmt w:val="lowerLetter"/>
      <w:suff w:val="space"/>
      <w:lvlText w:val="%1)"/>
      <w:lvlJc w:val="left"/>
    </w:lvl>
  </w:abstractNum>
  <w:abstractNum w:abstractNumId="2">
    <w:nsid w:val="CF3FFDCA"/>
    <w:multiLevelType w:val="singleLevel"/>
    <w:tmpl w:val="CF3FFDCA"/>
    <w:lvl w:ilvl="0" w:tentative="0">
      <w:start w:val="1"/>
      <w:numFmt w:val="lowerLetter"/>
      <w:suff w:val="space"/>
      <w:lvlText w:val="%1)"/>
      <w:lvlJc w:val="left"/>
    </w:lvl>
  </w:abstractNum>
  <w:abstractNum w:abstractNumId="3">
    <w:nsid w:val="EDFD2307"/>
    <w:multiLevelType w:val="singleLevel"/>
    <w:tmpl w:val="EDFD2307"/>
    <w:lvl w:ilvl="0" w:tentative="0">
      <w:start w:val="1"/>
      <w:numFmt w:val="lowerLetter"/>
      <w:suff w:val="space"/>
      <w:lvlText w:val="%1)"/>
      <w:lvlJc w:val="left"/>
    </w:lvl>
  </w:abstractNum>
  <w:abstractNum w:abstractNumId="4">
    <w:nsid w:val="EF657BF9"/>
    <w:multiLevelType w:val="singleLevel"/>
    <w:tmpl w:val="EF657BF9"/>
    <w:lvl w:ilvl="0" w:tentative="0">
      <w:start w:val="1"/>
      <w:numFmt w:val="lowerLetter"/>
      <w:suff w:val="space"/>
      <w:lvlText w:val="%1)"/>
      <w:lvlJc w:val="left"/>
    </w:lvl>
  </w:abstractNum>
  <w:abstractNum w:abstractNumId="5">
    <w:nsid w:val="F73AD675"/>
    <w:multiLevelType w:val="singleLevel"/>
    <w:tmpl w:val="F73AD675"/>
    <w:lvl w:ilvl="0" w:tentative="0">
      <w:start w:val="1"/>
      <w:numFmt w:val="lowerLetter"/>
      <w:suff w:val="space"/>
      <w:lvlText w:val="%1)"/>
      <w:lvlJc w:val="left"/>
    </w:lvl>
  </w:abstractNum>
  <w:abstractNum w:abstractNumId="6">
    <w:nsid w:val="FBED2C37"/>
    <w:multiLevelType w:val="singleLevel"/>
    <w:tmpl w:val="FBED2C37"/>
    <w:lvl w:ilvl="0" w:tentative="0">
      <w:start w:val="1"/>
      <w:numFmt w:val="lowerLetter"/>
      <w:suff w:val="space"/>
      <w:lvlText w:val="%1)"/>
      <w:lvlJc w:val="left"/>
    </w:lvl>
  </w:abstractNum>
  <w:abstractNum w:abstractNumId="7">
    <w:nsid w:val="FFFEA129"/>
    <w:multiLevelType w:val="singleLevel"/>
    <w:tmpl w:val="FFFEA129"/>
    <w:lvl w:ilvl="0" w:tentative="0">
      <w:start w:val="1"/>
      <w:numFmt w:val="lowerLetter"/>
      <w:suff w:val="space"/>
      <w:lvlText w:val="%1)"/>
      <w:lvlJc w:val="left"/>
    </w:lvl>
  </w:abstractNum>
  <w:abstractNum w:abstractNumId="8">
    <w:nsid w:val="167F738C"/>
    <w:multiLevelType w:val="singleLevel"/>
    <w:tmpl w:val="167F738C"/>
    <w:lvl w:ilvl="0" w:tentative="0">
      <w:start w:val="1"/>
      <w:numFmt w:val="lowerLetter"/>
      <w:suff w:val="space"/>
      <w:lvlText w:val="%1)"/>
      <w:lvlJc w:val="left"/>
    </w:lvl>
  </w:abstractNum>
  <w:abstractNum w:abstractNumId="9">
    <w:nsid w:val="445D56CC"/>
    <w:multiLevelType w:val="multilevel"/>
    <w:tmpl w:val="445D56C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FA7DD6"/>
    <w:multiLevelType w:val="singleLevel"/>
    <w:tmpl w:val="68FA7DD6"/>
    <w:lvl w:ilvl="0" w:tentative="0">
      <w:start w:val="1"/>
      <w:numFmt w:val="lowerLetter"/>
      <w:suff w:val="space"/>
      <w:lvlText w:val="%1)"/>
      <w:lvlJc w:val="left"/>
    </w:lvl>
  </w:abstractNum>
  <w:abstractNum w:abstractNumId="11">
    <w:nsid w:val="6A382E94"/>
    <w:multiLevelType w:val="multilevel"/>
    <w:tmpl w:val="6A382E94"/>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578E253"/>
    <w:multiLevelType w:val="singleLevel"/>
    <w:tmpl w:val="7578E253"/>
    <w:lvl w:ilvl="0" w:tentative="0">
      <w:start w:val="1"/>
      <w:numFmt w:val="lowerLetter"/>
      <w:suff w:val="space"/>
      <w:lvlText w:val="%1)"/>
      <w:lvlJc w:val="left"/>
    </w:lvl>
  </w:abstractNum>
  <w:abstractNum w:abstractNumId="13">
    <w:nsid w:val="7FDE9922"/>
    <w:multiLevelType w:val="singleLevel"/>
    <w:tmpl w:val="7FDE9922"/>
    <w:lvl w:ilvl="0" w:tentative="0">
      <w:start w:val="1"/>
      <w:numFmt w:val="lowerLetter"/>
      <w:suff w:val="space"/>
      <w:lvlText w:val="%1)"/>
      <w:lvlJc w:val="left"/>
    </w:lvl>
  </w:abstractNum>
  <w:num w:numId="1">
    <w:abstractNumId w:val="3"/>
  </w:num>
  <w:num w:numId="2">
    <w:abstractNumId w:val="13"/>
  </w:num>
  <w:num w:numId="3">
    <w:abstractNumId w:val="5"/>
  </w:num>
  <w:num w:numId="4">
    <w:abstractNumId w:val="12"/>
  </w:num>
  <w:num w:numId="5">
    <w:abstractNumId w:val="4"/>
  </w:num>
  <w:num w:numId="6">
    <w:abstractNumId w:val="1"/>
  </w:num>
  <w:num w:numId="7">
    <w:abstractNumId w:val="10"/>
  </w:num>
  <w:num w:numId="8">
    <w:abstractNumId w:val="0"/>
  </w:num>
  <w:num w:numId="9">
    <w:abstractNumId w:val="8"/>
  </w:num>
  <w:num w:numId="10">
    <w:abstractNumId w:val="2"/>
  </w:num>
  <w:num w:numId="11">
    <w:abstractNumId w:val="11"/>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wZDVkNGJhYTQwNjJiY2VhOTU5ZWRlYmVjNDliYmIifQ=="/>
  </w:docVars>
  <w:rsids>
    <w:rsidRoot w:val="00FA5A73"/>
    <w:rsid w:val="0000011B"/>
    <w:rsid w:val="00007226"/>
    <w:rsid w:val="000236E4"/>
    <w:rsid w:val="0002552C"/>
    <w:rsid w:val="00027FDE"/>
    <w:rsid w:val="00052408"/>
    <w:rsid w:val="00072D91"/>
    <w:rsid w:val="00080AE7"/>
    <w:rsid w:val="00090628"/>
    <w:rsid w:val="00094EB4"/>
    <w:rsid w:val="00096909"/>
    <w:rsid w:val="000A5C6B"/>
    <w:rsid w:val="000C337C"/>
    <w:rsid w:val="000C602E"/>
    <w:rsid w:val="000C74E1"/>
    <w:rsid w:val="000C7F76"/>
    <w:rsid w:val="000D3CF7"/>
    <w:rsid w:val="0011188D"/>
    <w:rsid w:val="00116DEA"/>
    <w:rsid w:val="00117128"/>
    <w:rsid w:val="0015098E"/>
    <w:rsid w:val="0016132A"/>
    <w:rsid w:val="00167798"/>
    <w:rsid w:val="00167BFD"/>
    <w:rsid w:val="00172FD6"/>
    <w:rsid w:val="001871A0"/>
    <w:rsid w:val="001877FC"/>
    <w:rsid w:val="001915A3"/>
    <w:rsid w:val="001A36F5"/>
    <w:rsid w:val="001A7E1E"/>
    <w:rsid w:val="001B04C9"/>
    <w:rsid w:val="001C2EDD"/>
    <w:rsid w:val="001C3D5F"/>
    <w:rsid w:val="001D24E5"/>
    <w:rsid w:val="001D5029"/>
    <w:rsid w:val="001E7826"/>
    <w:rsid w:val="001F43EC"/>
    <w:rsid w:val="00215FE5"/>
    <w:rsid w:val="002356D1"/>
    <w:rsid w:val="002371B6"/>
    <w:rsid w:val="00242FE2"/>
    <w:rsid w:val="00247C04"/>
    <w:rsid w:val="00273343"/>
    <w:rsid w:val="00285B4C"/>
    <w:rsid w:val="0029650F"/>
    <w:rsid w:val="002B1F37"/>
    <w:rsid w:val="002C26E4"/>
    <w:rsid w:val="002D5ADD"/>
    <w:rsid w:val="002E3F0F"/>
    <w:rsid w:val="0030435A"/>
    <w:rsid w:val="00304AC8"/>
    <w:rsid w:val="00313A81"/>
    <w:rsid w:val="00313DC4"/>
    <w:rsid w:val="0031721F"/>
    <w:rsid w:val="00317845"/>
    <w:rsid w:val="00317B81"/>
    <w:rsid w:val="00320184"/>
    <w:rsid w:val="00321438"/>
    <w:rsid w:val="00337C1F"/>
    <w:rsid w:val="00342538"/>
    <w:rsid w:val="003900D0"/>
    <w:rsid w:val="00391296"/>
    <w:rsid w:val="00393A37"/>
    <w:rsid w:val="003A566C"/>
    <w:rsid w:val="003B4485"/>
    <w:rsid w:val="003C20CA"/>
    <w:rsid w:val="003C38EB"/>
    <w:rsid w:val="003D2CD3"/>
    <w:rsid w:val="0040275C"/>
    <w:rsid w:val="004075EE"/>
    <w:rsid w:val="0041714E"/>
    <w:rsid w:val="004176F1"/>
    <w:rsid w:val="00422A0D"/>
    <w:rsid w:val="004237FE"/>
    <w:rsid w:val="00433C84"/>
    <w:rsid w:val="00436F78"/>
    <w:rsid w:val="00437F70"/>
    <w:rsid w:val="0047727B"/>
    <w:rsid w:val="00491109"/>
    <w:rsid w:val="00496CD5"/>
    <w:rsid w:val="004A0403"/>
    <w:rsid w:val="004B62A3"/>
    <w:rsid w:val="004B7060"/>
    <w:rsid w:val="004D5718"/>
    <w:rsid w:val="004D70CA"/>
    <w:rsid w:val="004F612C"/>
    <w:rsid w:val="004F6260"/>
    <w:rsid w:val="00502BC3"/>
    <w:rsid w:val="00502EDC"/>
    <w:rsid w:val="00507A32"/>
    <w:rsid w:val="00511B7F"/>
    <w:rsid w:val="00521DF8"/>
    <w:rsid w:val="00525F31"/>
    <w:rsid w:val="005634C7"/>
    <w:rsid w:val="00582B2D"/>
    <w:rsid w:val="00582CEF"/>
    <w:rsid w:val="005B141B"/>
    <w:rsid w:val="005B4FD0"/>
    <w:rsid w:val="005C38AB"/>
    <w:rsid w:val="005D314A"/>
    <w:rsid w:val="005E71C6"/>
    <w:rsid w:val="00604495"/>
    <w:rsid w:val="00612CC1"/>
    <w:rsid w:val="0062102B"/>
    <w:rsid w:val="00641A10"/>
    <w:rsid w:val="0065129E"/>
    <w:rsid w:val="00657625"/>
    <w:rsid w:val="00662298"/>
    <w:rsid w:val="00665C26"/>
    <w:rsid w:val="006672EC"/>
    <w:rsid w:val="00673C87"/>
    <w:rsid w:val="006831C9"/>
    <w:rsid w:val="00691480"/>
    <w:rsid w:val="006B04F8"/>
    <w:rsid w:val="006C029D"/>
    <w:rsid w:val="006C7397"/>
    <w:rsid w:val="006D2BCD"/>
    <w:rsid w:val="00711475"/>
    <w:rsid w:val="00714E81"/>
    <w:rsid w:val="007245A3"/>
    <w:rsid w:val="007248F8"/>
    <w:rsid w:val="00727191"/>
    <w:rsid w:val="00727EC4"/>
    <w:rsid w:val="0073216A"/>
    <w:rsid w:val="00732E44"/>
    <w:rsid w:val="0079450D"/>
    <w:rsid w:val="007E00E7"/>
    <w:rsid w:val="007E64CC"/>
    <w:rsid w:val="007F3D05"/>
    <w:rsid w:val="00814B25"/>
    <w:rsid w:val="00817923"/>
    <w:rsid w:val="00821400"/>
    <w:rsid w:val="00833626"/>
    <w:rsid w:val="0084589A"/>
    <w:rsid w:val="00860D8C"/>
    <w:rsid w:val="00861503"/>
    <w:rsid w:val="00867891"/>
    <w:rsid w:val="00882234"/>
    <w:rsid w:val="00884FC3"/>
    <w:rsid w:val="0089316C"/>
    <w:rsid w:val="00893E92"/>
    <w:rsid w:val="008A4183"/>
    <w:rsid w:val="008D586B"/>
    <w:rsid w:val="008D6C46"/>
    <w:rsid w:val="008E673C"/>
    <w:rsid w:val="008F541B"/>
    <w:rsid w:val="008F76E2"/>
    <w:rsid w:val="00952D0E"/>
    <w:rsid w:val="00962552"/>
    <w:rsid w:val="009A34C3"/>
    <w:rsid w:val="009A598A"/>
    <w:rsid w:val="009A6CBE"/>
    <w:rsid w:val="009B2DB2"/>
    <w:rsid w:val="009D2D00"/>
    <w:rsid w:val="009D4B12"/>
    <w:rsid w:val="009E19E5"/>
    <w:rsid w:val="009E36CB"/>
    <w:rsid w:val="009F401C"/>
    <w:rsid w:val="00A41633"/>
    <w:rsid w:val="00A5082D"/>
    <w:rsid w:val="00A5398B"/>
    <w:rsid w:val="00A73639"/>
    <w:rsid w:val="00A742BE"/>
    <w:rsid w:val="00A8508D"/>
    <w:rsid w:val="00A867B9"/>
    <w:rsid w:val="00AB49FB"/>
    <w:rsid w:val="00AD1B80"/>
    <w:rsid w:val="00AD45BE"/>
    <w:rsid w:val="00AE7532"/>
    <w:rsid w:val="00AF2795"/>
    <w:rsid w:val="00AF3F32"/>
    <w:rsid w:val="00B00E11"/>
    <w:rsid w:val="00B4568D"/>
    <w:rsid w:val="00B517E8"/>
    <w:rsid w:val="00B535DE"/>
    <w:rsid w:val="00B67628"/>
    <w:rsid w:val="00B84429"/>
    <w:rsid w:val="00BA6581"/>
    <w:rsid w:val="00BB0A14"/>
    <w:rsid w:val="00BC055F"/>
    <w:rsid w:val="00BC09CF"/>
    <w:rsid w:val="00BC0A06"/>
    <w:rsid w:val="00BE1B77"/>
    <w:rsid w:val="00BE3EE9"/>
    <w:rsid w:val="00C17BAF"/>
    <w:rsid w:val="00C22E71"/>
    <w:rsid w:val="00C241DA"/>
    <w:rsid w:val="00C72633"/>
    <w:rsid w:val="00C80413"/>
    <w:rsid w:val="00C80572"/>
    <w:rsid w:val="00C9191C"/>
    <w:rsid w:val="00C93F47"/>
    <w:rsid w:val="00CA3487"/>
    <w:rsid w:val="00CB1D28"/>
    <w:rsid w:val="00CE7B6A"/>
    <w:rsid w:val="00D007C7"/>
    <w:rsid w:val="00D6761D"/>
    <w:rsid w:val="00D715B4"/>
    <w:rsid w:val="00D95DFC"/>
    <w:rsid w:val="00DA189B"/>
    <w:rsid w:val="00DA3043"/>
    <w:rsid w:val="00DC3CA0"/>
    <w:rsid w:val="00DD4BA3"/>
    <w:rsid w:val="00DE2BA7"/>
    <w:rsid w:val="00E37365"/>
    <w:rsid w:val="00E4079D"/>
    <w:rsid w:val="00E6379C"/>
    <w:rsid w:val="00E814F9"/>
    <w:rsid w:val="00E9392A"/>
    <w:rsid w:val="00E9624D"/>
    <w:rsid w:val="00E96ED7"/>
    <w:rsid w:val="00EA4E3D"/>
    <w:rsid w:val="00EA5C4B"/>
    <w:rsid w:val="00EB0343"/>
    <w:rsid w:val="00EB483E"/>
    <w:rsid w:val="00EB4B7D"/>
    <w:rsid w:val="00EC6C13"/>
    <w:rsid w:val="00ED3FED"/>
    <w:rsid w:val="00F22FF4"/>
    <w:rsid w:val="00F2668F"/>
    <w:rsid w:val="00F37727"/>
    <w:rsid w:val="00F82037"/>
    <w:rsid w:val="00F8293C"/>
    <w:rsid w:val="00FA54F8"/>
    <w:rsid w:val="00FA5A73"/>
    <w:rsid w:val="00FA72AA"/>
    <w:rsid w:val="00FE04B7"/>
    <w:rsid w:val="00FE291D"/>
    <w:rsid w:val="00FF0B05"/>
    <w:rsid w:val="00FF5C40"/>
    <w:rsid w:val="0B6E25B1"/>
    <w:rsid w:val="0DC2DFFB"/>
    <w:rsid w:val="0FD50D42"/>
    <w:rsid w:val="0FF7E6EF"/>
    <w:rsid w:val="12340532"/>
    <w:rsid w:val="139FE420"/>
    <w:rsid w:val="177B6D46"/>
    <w:rsid w:val="17AFD722"/>
    <w:rsid w:val="19D7CC1B"/>
    <w:rsid w:val="1AF25186"/>
    <w:rsid w:val="1BA6E2D3"/>
    <w:rsid w:val="1BBFB830"/>
    <w:rsid w:val="1C5E8A7B"/>
    <w:rsid w:val="1DFB2D6A"/>
    <w:rsid w:val="1EBECD83"/>
    <w:rsid w:val="1ECFE56E"/>
    <w:rsid w:val="1FAD619B"/>
    <w:rsid w:val="1FE71235"/>
    <w:rsid w:val="206B79DD"/>
    <w:rsid w:val="227B8538"/>
    <w:rsid w:val="237DEB9D"/>
    <w:rsid w:val="25657AD5"/>
    <w:rsid w:val="25FF788A"/>
    <w:rsid w:val="26B57D60"/>
    <w:rsid w:val="26FDF922"/>
    <w:rsid w:val="2A7FCB68"/>
    <w:rsid w:val="2BFB368F"/>
    <w:rsid w:val="2CEC79B5"/>
    <w:rsid w:val="2D7E05F9"/>
    <w:rsid w:val="2ECAE31F"/>
    <w:rsid w:val="2F3FF270"/>
    <w:rsid w:val="2FDF28DF"/>
    <w:rsid w:val="2FFE395F"/>
    <w:rsid w:val="2FFE64C7"/>
    <w:rsid w:val="317EA9FA"/>
    <w:rsid w:val="327F41EB"/>
    <w:rsid w:val="327FAAC5"/>
    <w:rsid w:val="33EBCA1F"/>
    <w:rsid w:val="34BEA27F"/>
    <w:rsid w:val="356F0BEE"/>
    <w:rsid w:val="35D5AAF1"/>
    <w:rsid w:val="35F40DF0"/>
    <w:rsid w:val="37326319"/>
    <w:rsid w:val="37394C20"/>
    <w:rsid w:val="37FDD999"/>
    <w:rsid w:val="3AB6FDA7"/>
    <w:rsid w:val="3B77F4C1"/>
    <w:rsid w:val="3BDFDAC7"/>
    <w:rsid w:val="3BEB2B1E"/>
    <w:rsid w:val="3BFB329F"/>
    <w:rsid w:val="3BFEE285"/>
    <w:rsid w:val="3D7FF884"/>
    <w:rsid w:val="3DAB6C1D"/>
    <w:rsid w:val="3DBDA582"/>
    <w:rsid w:val="3DDFE238"/>
    <w:rsid w:val="3DFE9CE5"/>
    <w:rsid w:val="3E4F67E8"/>
    <w:rsid w:val="3EA7C997"/>
    <w:rsid w:val="3EDA33B6"/>
    <w:rsid w:val="3EDDE9D2"/>
    <w:rsid w:val="3EF72BAB"/>
    <w:rsid w:val="3EFB1C64"/>
    <w:rsid w:val="3F17D77F"/>
    <w:rsid w:val="3F3BCEBF"/>
    <w:rsid w:val="3F47946B"/>
    <w:rsid w:val="3F7F8959"/>
    <w:rsid w:val="3F9D85EE"/>
    <w:rsid w:val="3FB2DFA8"/>
    <w:rsid w:val="3FBF9272"/>
    <w:rsid w:val="3FBFEADA"/>
    <w:rsid w:val="3FD591E0"/>
    <w:rsid w:val="3FDB88E5"/>
    <w:rsid w:val="3FEE9A1F"/>
    <w:rsid w:val="3FF9E7AA"/>
    <w:rsid w:val="3FFF1516"/>
    <w:rsid w:val="43F4EAC4"/>
    <w:rsid w:val="43F57618"/>
    <w:rsid w:val="47BAC1C8"/>
    <w:rsid w:val="4EEB718B"/>
    <w:rsid w:val="4F6B7897"/>
    <w:rsid w:val="4F7AD9DF"/>
    <w:rsid w:val="4F7C3BFE"/>
    <w:rsid w:val="4FAD427B"/>
    <w:rsid w:val="4FEDC951"/>
    <w:rsid w:val="532F8A5C"/>
    <w:rsid w:val="53D4E732"/>
    <w:rsid w:val="55BDBABC"/>
    <w:rsid w:val="55BF4159"/>
    <w:rsid w:val="55F0EF14"/>
    <w:rsid w:val="55FF2305"/>
    <w:rsid w:val="577B25DD"/>
    <w:rsid w:val="577F1CAA"/>
    <w:rsid w:val="5797FA89"/>
    <w:rsid w:val="57EBDF4F"/>
    <w:rsid w:val="58DBD73F"/>
    <w:rsid w:val="59BE58C3"/>
    <w:rsid w:val="59EFE5C1"/>
    <w:rsid w:val="5A6FA81F"/>
    <w:rsid w:val="5A7F4093"/>
    <w:rsid w:val="5ADF86EA"/>
    <w:rsid w:val="5BDE07AA"/>
    <w:rsid w:val="5CEFA28F"/>
    <w:rsid w:val="5CFB7692"/>
    <w:rsid w:val="5D2F23B2"/>
    <w:rsid w:val="5D3B1185"/>
    <w:rsid w:val="5D6F7B36"/>
    <w:rsid w:val="5D7EB01F"/>
    <w:rsid w:val="5D9F4B0A"/>
    <w:rsid w:val="5DBFD0F9"/>
    <w:rsid w:val="5DCB6292"/>
    <w:rsid w:val="5DE7AD8E"/>
    <w:rsid w:val="5DEBDAEF"/>
    <w:rsid w:val="5DED2D65"/>
    <w:rsid w:val="5DEFC53B"/>
    <w:rsid w:val="5DFDAF7A"/>
    <w:rsid w:val="5E7331A4"/>
    <w:rsid w:val="5EDF48C2"/>
    <w:rsid w:val="5F378A2F"/>
    <w:rsid w:val="5F6FB4A9"/>
    <w:rsid w:val="5F8B8FC1"/>
    <w:rsid w:val="5FD41AD7"/>
    <w:rsid w:val="5FD506D2"/>
    <w:rsid w:val="5FDF5177"/>
    <w:rsid w:val="5FE0953C"/>
    <w:rsid w:val="5FF46B8B"/>
    <w:rsid w:val="5FF76C07"/>
    <w:rsid w:val="5FFF096C"/>
    <w:rsid w:val="5FFF9BFA"/>
    <w:rsid w:val="5FFFFA48"/>
    <w:rsid w:val="5FFFFF4C"/>
    <w:rsid w:val="60FD95A5"/>
    <w:rsid w:val="61F38EEA"/>
    <w:rsid w:val="61FF6693"/>
    <w:rsid w:val="62DEC7BE"/>
    <w:rsid w:val="62FDA498"/>
    <w:rsid w:val="635BA8C6"/>
    <w:rsid w:val="63FF1081"/>
    <w:rsid w:val="63FFF897"/>
    <w:rsid w:val="644F5D6E"/>
    <w:rsid w:val="66FDCB1E"/>
    <w:rsid w:val="673FD460"/>
    <w:rsid w:val="67F7E085"/>
    <w:rsid w:val="67FD8CF3"/>
    <w:rsid w:val="67FF950E"/>
    <w:rsid w:val="686E2FB8"/>
    <w:rsid w:val="69DF1A69"/>
    <w:rsid w:val="69EF3E0C"/>
    <w:rsid w:val="69EF5BCA"/>
    <w:rsid w:val="6B7F03BC"/>
    <w:rsid w:val="6BE7F57E"/>
    <w:rsid w:val="6BEFA76E"/>
    <w:rsid w:val="6BF7AE86"/>
    <w:rsid w:val="6BFE9297"/>
    <w:rsid w:val="6C95313E"/>
    <w:rsid w:val="6D6F0921"/>
    <w:rsid w:val="6DDC9B11"/>
    <w:rsid w:val="6DFAD688"/>
    <w:rsid w:val="6E4FDC4E"/>
    <w:rsid w:val="6EB477DF"/>
    <w:rsid w:val="6EBEBBEF"/>
    <w:rsid w:val="6EDE3230"/>
    <w:rsid w:val="6EEB24BA"/>
    <w:rsid w:val="6EED59A9"/>
    <w:rsid w:val="6EFD303F"/>
    <w:rsid w:val="6F374E3C"/>
    <w:rsid w:val="6F679C98"/>
    <w:rsid w:val="6F7F46C1"/>
    <w:rsid w:val="6F7FD56A"/>
    <w:rsid w:val="6FAB65C5"/>
    <w:rsid w:val="6FAF65D7"/>
    <w:rsid w:val="6FDB67D5"/>
    <w:rsid w:val="6FEF6D05"/>
    <w:rsid w:val="6FEF901B"/>
    <w:rsid w:val="6FF04DAB"/>
    <w:rsid w:val="6FFFCCBB"/>
    <w:rsid w:val="6FFFEF0F"/>
    <w:rsid w:val="71D445A3"/>
    <w:rsid w:val="739F7567"/>
    <w:rsid w:val="73FA8B9B"/>
    <w:rsid w:val="74B77381"/>
    <w:rsid w:val="74F7717C"/>
    <w:rsid w:val="74FBCDA4"/>
    <w:rsid w:val="74FF0B17"/>
    <w:rsid w:val="7574FCA4"/>
    <w:rsid w:val="75FB69D0"/>
    <w:rsid w:val="75FBD397"/>
    <w:rsid w:val="76CF2D73"/>
    <w:rsid w:val="776FA3D9"/>
    <w:rsid w:val="77851126"/>
    <w:rsid w:val="77DB57BC"/>
    <w:rsid w:val="77DC7210"/>
    <w:rsid w:val="77DF297A"/>
    <w:rsid w:val="77E72487"/>
    <w:rsid w:val="77EEA963"/>
    <w:rsid w:val="77F96E4E"/>
    <w:rsid w:val="77FD190A"/>
    <w:rsid w:val="77FDD004"/>
    <w:rsid w:val="77FE07FE"/>
    <w:rsid w:val="77FF4A23"/>
    <w:rsid w:val="77FFCE4A"/>
    <w:rsid w:val="786B2FD5"/>
    <w:rsid w:val="7875ADAC"/>
    <w:rsid w:val="7972B0E9"/>
    <w:rsid w:val="7A293C85"/>
    <w:rsid w:val="7A3D7D66"/>
    <w:rsid w:val="7A7B08B8"/>
    <w:rsid w:val="7AB705FC"/>
    <w:rsid w:val="7ABF87B4"/>
    <w:rsid w:val="7AFD26A1"/>
    <w:rsid w:val="7AFD8377"/>
    <w:rsid w:val="7B9FDAD2"/>
    <w:rsid w:val="7BBAAFED"/>
    <w:rsid w:val="7BBF9AAB"/>
    <w:rsid w:val="7BFEFA4A"/>
    <w:rsid w:val="7C7C3E60"/>
    <w:rsid w:val="7D5D9097"/>
    <w:rsid w:val="7D766CA2"/>
    <w:rsid w:val="7D7EC432"/>
    <w:rsid w:val="7DA734AE"/>
    <w:rsid w:val="7DBF1352"/>
    <w:rsid w:val="7DBF16F2"/>
    <w:rsid w:val="7DBF6157"/>
    <w:rsid w:val="7DE7F90C"/>
    <w:rsid w:val="7DF6F34B"/>
    <w:rsid w:val="7DFB863D"/>
    <w:rsid w:val="7DFBC845"/>
    <w:rsid w:val="7DFF03D9"/>
    <w:rsid w:val="7E0FDEAB"/>
    <w:rsid w:val="7E18FD61"/>
    <w:rsid w:val="7E72E386"/>
    <w:rsid w:val="7E7EE865"/>
    <w:rsid w:val="7E7F7B0E"/>
    <w:rsid w:val="7E99DD0E"/>
    <w:rsid w:val="7EBCD456"/>
    <w:rsid w:val="7EE367FB"/>
    <w:rsid w:val="7EEB63A3"/>
    <w:rsid w:val="7EEB6E37"/>
    <w:rsid w:val="7EED552E"/>
    <w:rsid w:val="7EEDC7DE"/>
    <w:rsid w:val="7EF51193"/>
    <w:rsid w:val="7EF7370F"/>
    <w:rsid w:val="7EFBEC04"/>
    <w:rsid w:val="7EFF0B59"/>
    <w:rsid w:val="7F2FA4B8"/>
    <w:rsid w:val="7F343A74"/>
    <w:rsid w:val="7F3DD2CE"/>
    <w:rsid w:val="7F3FB1C6"/>
    <w:rsid w:val="7F5FCB7D"/>
    <w:rsid w:val="7F759035"/>
    <w:rsid w:val="7F76E84E"/>
    <w:rsid w:val="7F7F1AF8"/>
    <w:rsid w:val="7F7F500A"/>
    <w:rsid w:val="7F7F753B"/>
    <w:rsid w:val="7F7F9E15"/>
    <w:rsid w:val="7F9512E2"/>
    <w:rsid w:val="7FB78CCF"/>
    <w:rsid w:val="7FBB741F"/>
    <w:rsid w:val="7FBEAEB2"/>
    <w:rsid w:val="7FBEDCA0"/>
    <w:rsid w:val="7FBFF7FF"/>
    <w:rsid w:val="7FD7806F"/>
    <w:rsid w:val="7FDF37C1"/>
    <w:rsid w:val="7FDF5427"/>
    <w:rsid w:val="7FDFA483"/>
    <w:rsid w:val="7FE70814"/>
    <w:rsid w:val="7FEEA464"/>
    <w:rsid w:val="7FF7A505"/>
    <w:rsid w:val="7FF7B5D7"/>
    <w:rsid w:val="7FFD47C2"/>
    <w:rsid w:val="7FFFE3C0"/>
    <w:rsid w:val="85C44F6E"/>
    <w:rsid w:val="87D7AE09"/>
    <w:rsid w:val="8BEF3C16"/>
    <w:rsid w:val="8C1F47F5"/>
    <w:rsid w:val="8D7BD6C8"/>
    <w:rsid w:val="95F76E96"/>
    <w:rsid w:val="97BF0829"/>
    <w:rsid w:val="97F4C3F8"/>
    <w:rsid w:val="97FB7F63"/>
    <w:rsid w:val="97FF4537"/>
    <w:rsid w:val="97FF9196"/>
    <w:rsid w:val="9877DA7D"/>
    <w:rsid w:val="994A46E2"/>
    <w:rsid w:val="9AFD3BEA"/>
    <w:rsid w:val="9BFE5F55"/>
    <w:rsid w:val="9DFF3BF0"/>
    <w:rsid w:val="9EEC7057"/>
    <w:rsid w:val="9F7750B5"/>
    <w:rsid w:val="9F794E7F"/>
    <w:rsid w:val="9F7E5773"/>
    <w:rsid w:val="9FF68D55"/>
    <w:rsid w:val="A5F3D27C"/>
    <w:rsid w:val="A677D7BF"/>
    <w:rsid w:val="A7ED464E"/>
    <w:rsid w:val="A9DAE806"/>
    <w:rsid w:val="AA779F6F"/>
    <w:rsid w:val="AAF589CE"/>
    <w:rsid w:val="AB761888"/>
    <w:rsid w:val="ABBCA2FE"/>
    <w:rsid w:val="AEF7D134"/>
    <w:rsid w:val="AFBE57FE"/>
    <w:rsid w:val="B293AF55"/>
    <w:rsid w:val="B37DABB3"/>
    <w:rsid w:val="B5FFEEC7"/>
    <w:rsid w:val="B67FC050"/>
    <w:rsid w:val="B77F3D94"/>
    <w:rsid w:val="B7DF578B"/>
    <w:rsid w:val="B7EFBB3B"/>
    <w:rsid w:val="B7EFD148"/>
    <w:rsid w:val="B7F30975"/>
    <w:rsid w:val="B7F69CD5"/>
    <w:rsid w:val="B7FE5B6A"/>
    <w:rsid w:val="B7FFEA88"/>
    <w:rsid w:val="BA7FBAAF"/>
    <w:rsid w:val="BAFEE912"/>
    <w:rsid w:val="BCCE7806"/>
    <w:rsid w:val="BCEEE69D"/>
    <w:rsid w:val="BDEC8C1D"/>
    <w:rsid w:val="BDFDC529"/>
    <w:rsid w:val="BE13F72B"/>
    <w:rsid w:val="BE87D946"/>
    <w:rsid w:val="BEFCE1E4"/>
    <w:rsid w:val="BF1DC9C3"/>
    <w:rsid w:val="BF4F7304"/>
    <w:rsid w:val="BF7F08C8"/>
    <w:rsid w:val="BF93AB30"/>
    <w:rsid w:val="BFAB462A"/>
    <w:rsid w:val="BFAFD39C"/>
    <w:rsid w:val="BFBFE90E"/>
    <w:rsid w:val="BFDE463F"/>
    <w:rsid w:val="BFDEFF41"/>
    <w:rsid w:val="BFE75A9B"/>
    <w:rsid w:val="BFEDB73F"/>
    <w:rsid w:val="BFEDE367"/>
    <w:rsid w:val="BFFC03ED"/>
    <w:rsid w:val="C0BE667B"/>
    <w:rsid w:val="C37EF743"/>
    <w:rsid w:val="C57A98D2"/>
    <w:rsid w:val="C7BAD557"/>
    <w:rsid w:val="C97D255E"/>
    <w:rsid w:val="CBAD6025"/>
    <w:rsid w:val="CBB715A8"/>
    <w:rsid w:val="CBE9C883"/>
    <w:rsid w:val="CCDABA16"/>
    <w:rsid w:val="CD76F5D4"/>
    <w:rsid w:val="CDEFA9FD"/>
    <w:rsid w:val="CDFF597B"/>
    <w:rsid w:val="CEFF7A37"/>
    <w:rsid w:val="CFF4DD90"/>
    <w:rsid w:val="CFFB5B51"/>
    <w:rsid w:val="D1A06F4D"/>
    <w:rsid w:val="D1E701C0"/>
    <w:rsid w:val="D35B07FA"/>
    <w:rsid w:val="D5FFCF08"/>
    <w:rsid w:val="D6A5A9CD"/>
    <w:rsid w:val="D77BB7A6"/>
    <w:rsid w:val="D7FB0A36"/>
    <w:rsid w:val="D7FF5876"/>
    <w:rsid w:val="D9DE2476"/>
    <w:rsid w:val="D9FB36FA"/>
    <w:rsid w:val="D9FD5B04"/>
    <w:rsid w:val="DB5F52BE"/>
    <w:rsid w:val="DB770E7E"/>
    <w:rsid w:val="DB7D56AA"/>
    <w:rsid w:val="DB7DFD50"/>
    <w:rsid w:val="DDABAC55"/>
    <w:rsid w:val="DDAEE55F"/>
    <w:rsid w:val="DDB3F725"/>
    <w:rsid w:val="DDDBFDAA"/>
    <w:rsid w:val="DDEFAB87"/>
    <w:rsid w:val="DDF9FD1E"/>
    <w:rsid w:val="DDFB4203"/>
    <w:rsid w:val="DDFD4698"/>
    <w:rsid w:val="DDFE33FD"/>
    <w:rsid w:val="DE4F612A"/>
    <w:rsid w:val="DE80B866"/>
    <w:rsid w:val="DEDFAE6C"/>
    <w:rsid w:val="DEEB097A"/>
    <w:rsid w:val="DEF274DF"/>
    <w:rsid w:val="DF48204F"/>
    <w:rsid w:val="DF9CF2B4"/>
    <w:rsid w:val="DFB3A891"/>
    <w:rsid w:val="DFDA59E0"/>
    <w:rsid w:val="DFDE3431"/>
    <w:rsid w:val="DFE7B39B"/>
    <w:rsid w:val="DFFEA52E"/>
    <w:rsid w:val="DFFFB3B2"/>
    <w:rsid w:val="E1AF275A"/>
    <w:rsid w:val="E33716FA"/>
    <w:rsid w:val="E376C784"/>
    <w:rsid w:val="E37F6DE5"/>
    <w:rsid w:val="E4FF06A5"/>
    <w:rsid w:val="E5769327"/>
    <w:rsid w:val="E5FF15E1"/>
    <w:rsid w:val="E6FF75C9"/>
    <w:rsid w:val="E71AB990"/>
    <w:rsid w:val="E73F70B0"/>
    <w:rsid w:val="E78B4525"/>
    <w:rsid w:val="E79A0A8D"/>
    <w:rsid w:val="E7DE6BDF"/>
    <w:rsid w:val="E7EF0918"/>
    <w:rsid w:val="E7FCCCDC"/>
    <w:rsid w:val="E7FF9FC1"/>
    <w:rsid w:val="E9ABEFCC"/>
    <w:rsid w:val="EAD33AC7"/>
    <w:rsid w:val="EB3E7163"/>
    <w:rsid w:val="EB5F2160"/>
    <w:rsid w:val="EBBE9AED"/>
    <w:rsid w:val="EBDE251C"/>
    <w:rsid w:val="EBF60543"/>
    <w:rsid w:val="EBFF2622"/>
    <w:rsid w:val="ED3F8978"/>
    <w:rsid w:val="ED791B8C"/>
    <w:rsid w:val="EDD3E51A"/>
    <w:rsid w:val="EE37F3FF"/>
    <w:rsid w:val="EE7D63A3"/>
    <w:rsid w:val="EE9CFC42"/>
    <w:rsid w:val="EE9D7735"/>
    <w:rsid w:val="EEE9D446"/>
    <w:rsid w:val="EEF85E04"/>
    <w:rsid w:val="EEFFC40E"/>
    <w:rsid w:val="EEFFF7A9"/>
    <w:rsid w:val="EF3F3474"/>
    <w:rsid w:val="EF5EC054"/>
    <w:rsid w:val="EF6D47EC"/>
    <w:rsid w:val="EF7BA0B8"/>
    <w:rsid w:val="EFBC2797"/>
    <w:rsid w:val="EFD77DA2"/>
    <w:rsid w:val="EFEF2128"/>
    <w:rsid w:val="EFEF5460"/>
    <w:rsid w:val="EFF7B4AB"/>
    <w:rsid w:val="EFFB38A4"/>
    <w:rsid w:val="EFFF1396"/>
    <w:rsid w:val="EFFF563F"/>
    <w:rsid w:val="EFFF923B"/>
    <w:rsid w:val="EFFF9401"/>
    <w:rsid w:val="EFFFCFF1"/>
    <w:rsid w:val="F24D3A9E"/>
    <w:rsid w:val="F2FD2B93"/>
    <w:rsid w:val="F34BDCFB"/>
    <w:rsid w:val="F36FD2FC"/>
    <w:rsid w:val="F3BBA443"/>
    <w:rsid w:val="F3D5563D"/>
    <w:rsid w:val="F3DE7807"/>
    <w:rsid w:val="F3FF1BCD"/>
    <w:rsid w:val="F46DCDE0"/>
    <w:rsid w:val="F4B5B287"/>
    <w:rsid w:val="F4DF6144"/>
    <w:rsid w:val="F5A5D7FF"/>
    <w:rsid w:val="F5DEA31C"/>
    <w:rsid w:val="F5E2F4CE"/>
    <w:rsid w:val="F69DF341"/>
    <w:rsid w:val="F6AA6E46"/>
    <w:rsid w:val="F6FF0764"/>
    <w:rsid w:val="F6FF1448"/>
    <w:rsid w:val="F71DA891"/>
    <w:rsid w:val="F73F044F"/>
    <w:rsid w:val="F767FA89"/>
    <w:rsid w:val="F77C20ED"/>
    <w:rsid w:val="F77DB228"/>
    <w:rsid w:val="F78FA110"/>
    <w:rsid w:val="F7CF5C1C"/>
    <w:rsid w:val="F7EF0FF6"/>
    <w:rsid w:val="F7FF7AE8"/>
    <w:rsid w:val="F7FFCB74"/>
    <w:rsid w:val="F80F5166"/>
    <w:rsid w:val="F8FD945B"/>
    <w:rsid w:val="F8FEFB3A"/>
    <w:rsid w:val="F937CFA2"/>
    <w:rsid w:val="F9DE5D61"/>
    <w:rsid w:val="FA5DF1D6"/>
    <w:rsid w:val="FA6B884E"/>
    <w:rsid w:val="FA6F957E"/>
    <w:rsid w:val="FADD4183"/>
    <w:rsid w:val="FAF4AB01"/>
    <w:rsid w:val="FAFB0EF4"/>
    <w:rsid w:val="FAFFDAEA"/>
    <w:rsid w:val="FB61E823"/>
    <w:rsid w:val="FB7AFB4C"/>
    <w:rsid w:val="FB7F3C49"/>
    <w:rsid w:val="FB7FE5F2"/>
    <w:rsid w:val="FB9A1863"/>
    <w:rsid w:val="FB9D89C0"/>
    <w:rsid w:val="FBE1C5BE"/>
    <w:rsid w:val="FBE785AA"/>
    <w:rsid w:val="FBFCC6A7"/>
    <w:rsid w:val="FBFCD783"/>
    <w:rsid w:val="FBFD6B6C"/>
    <w:rsid w:val="FBFF765F"/>
    <w:rsid w:val="FBFF7B69"/>
    <w:rsid w:val="FBFFE756"/>
    <w:rsid w:val="FC7E8EAD"/>
    <w:rsid w:val="FC7F1CE9"/>
    <w:rsid w:val="FCBD9C90"/>
    <w:rsid w:val="FCC79A70"/>
    <w:rsid w:val="FCD72119"/>
    <w:rsid w:val="FCDFA85A"/>
    <w:rsid w:val="FCF70DB6"/>
    <w:rsid w:val="FD6F2E3A"/>
    <w:rsid w:val="FD7963BC"/>
    <w:rsid w:val="FDBF1755"/>
    <w:rsid w:val="FDC70BF7"/>
    <w:rsid w:val="FDF7B56E"/>
    <w:rsid w:val="FDFFE0CA"/>
    <w:rsid w:val="FDFFE635"/>
    <w:rsid w:val="FE2B32C5"/>
    <w:rsid w:val="FE3B5D98"/>
    <w:rsid w:val="FE3ED703"/>
    <w:rsid w:val="FE7BD7E5"/>
    <w:rsid w:val="FEEB8585"/>
    <w:rsid w:val="FEFF0491"/>
    <w:rsid w:val="FEFF2DDB"/>
    <w:rsid w:val="FEFF4576"/>
    <w:rsid w:val="FEFFC3A7"/>
    <w:rsid w:val="FF2F2B48"/>
    <w:rsid w:val="FF6EB93E"/>
    <w:rsid w:val="FF7F999A"/>
    <w:rsid w:val="FFB5399E"/>
    <w:rsid w:val="FFB569EE"/>
    <w:rsid w:val="FFB9147F"/>
    <w:rsid w:val="FFBBC350"/>
    <w:rsid w:val="FFBD978F"/>
    <w:rsid w:val="FFBE506C"/>
    <w:rsid w:val="FFBF184D"/>
    <w:rsid w:val="FFCF021C"/>
    <w:rsid w:val="FFCFC131"/>
    <w:rsid w:val="FFD7B8F3"/>
    <w:rsid w:val="FFDF34FB"/>
    <w:rsid w:val="FFDFE051"/>
    <w:rsid w:val="FFECD8F0"/>
    <w:rsid w:val="FFEEE244"/>
    <w:rsid w:val="FFEF688C"/>
    <w:rsid w:val="FFEFF9A9"/>
    <w:rsid w:val="FFF7087E"/>
    <w:rsid w:val="FFF9D44D"/>
    <w:rsid w:val="FFFB6B5C"/>
    <w:rsid w:val="FFFBFE5F"/>
    <w:rsid w:val="FFFC5959"/>
    <w:rsid w:val="FFFE91B8"/>
    <w:rsid w:val="FFFEFBE0"/>
    <w:rsid w:val="FFFF22A3"/>
    <w:rsid w:val="FFFF67BF"/>
    <w:rsid w:val="FFFFA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semiHidden/>
    <w:unhideWhenUsed/>
    <w:qFormat/>
    <w:uiPriority w:val="99"/>
    <w:pPr>
      <w:jc w:val="left"/>
    </w:pPr>
  </w:style>
  <w:style w:type="paragraph" w:styleId="6">
    <w:name w:val="Body Text"/>
    <w:basedOn w:val="1"/>
    <w:link w:val="26"/>
    <w:qFormat/>
    <w:uiPriority w:val="0"/>
    <w:pPr>
      <w:spacing w:after="120"/>
    </w:pPr>
    <w:rPr>
      <w:rFonts w:ascii="Times New Roman" w:hAnsi="Times New Roman" w:eastAsia="宋体" w:cs="Times New Roman"/>
      <w:szCs w:val="24"/>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41"/>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黑体" w:hAnsi="黑体" w:eastAsia="黑体" w:cs="Times New Roman"/>
      <w:kern w:val="0"/>
      <w:sz w:val="24"/>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7"/>
    <w:semiHidden/>
    <w:unhideWhenUsed/>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Grid 7"/>
    <w:basedOn w:val="15"/>
    <w:qFormat/>
    <w:uiPriority w:val="0"/>
    <w:pPr>
      <w:widowControl w:val="0"/>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8"/>
    <w:unhideWhenUsed/>
    <w:qFormat/>
    <w:uiPriority w:val="99"/>
    <w:rPr>
      <w:color w:val="0000FF"/>
      <w:u w:val="single"/>
    </w:rPr>
  </w:style>
  <w:style w:type="character" w:styleId="23">
    <w:name w:val="annotation reference"/>
    <w:basedOn w:val="18"/>
    <w:semiHidden/>
    <w:unhideWhenUsed/>
    <w:qFormat/>
    <w:uiPriority w:val="99"/>
    <w:rPr>
      <w:sz w:val="21"/>
      <w:szCs w:val="21"/>
    </w:rPr>
  </w:style>
  <w:style w:type="character" w:customStyle="1" w:styleId="24">
    <w:name w:val="页眉 字符"/>
    <w:basedOn w:val="18"/>
    <w:link w:val="10"/>
    <w:qFormat/>
    <w:uiPriority w:val="99"/>
    <w:rPr>
      <w:sz w:val="18"/>
      <w:szCs w:val="18"/>
    </w:rPr>
  </w:style>
  <w:style w:type="character" w:customStyle="1" w:styleId="25">
    <w:name w:val="页脚 字符"/>
    <w:basedOn w:val="18"/>
    <w:link w:val="9"/>
    <w:qFormat/>
    <w:uiPriority w:val="99"/>
    <w:rPr>
      <w:sz w:val="18"/>
      <w:szCs w:val="18"/>
    </w:rPr>
  </w:style>
  <w:style w:type="character" w:customStyle="1" w:styleId="26">
    <w:name w:val="正文文本 字符"/>
    <w:basedOn w:val="18"/>
    <w:link w:val="6"/>
    <w:qFormat/>
    <w:uiPriority w:val="0"/>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段"/>
    <w:basedOn w:val="1"/>
    <w:qFormat/>
    <w:uiPriority w:val="0"/>
    <w:pPr>
      <w:widowControl/>
      <w:autoSpaceDE w:val="0"/>
      <w:autoSpaceDN w:val="0"/>
      <w:ind w:firstLine="200" w:firstLineChars="200"/>
    </w:pPr>
    <w:rPr>
      <w:rFonts w:ascii="宋体" w:hAnsi="Times New Roman" w:eastAsia="宋体" w:cs="宋体"/>
      <w:kern w:val="0"/>
      <w:szCs w:val="21"/>
    </w:rPr>
  </w:style>
  <w:style w:type="paragraph" w:customStyle="1" w:styleId="29">
    <w:name w:val="章标题"/>
    <w:basedOn w:val="1"/>
    <w:next w:val="28"/>
    <w:qFormat/>
    <w:uiPriority w:val="0"/>
    <w:pPr>
      <w:widowControl/>
      <w:spacing w:beforeLines="50" w:afterLines="50"/>
      <w:outlineLvl w:val="1"/>
    </w:pPr>
    <w:rPr>
      <w:rFonts w:ascii="黑体" w:hAnsi="Times New Roman" w:eastAsia="黑体" w:cs="宋体"/>
      <w:kern w:val="0"/>
      <w:szCs w:val="21"/>
    </w:rPr>
  </w:style>
  <w:style w:type="paragraph" w:customStyle="1" w:styleId="30">
    <w:name w:val="一级条标题"/>
    <w:basedOn w:val="29"/>
    <w:next w:val="28"/>
    <w:qFormat/>
    <w:uiPriority w:val="0"/>
    <w:pPr>
      <w:spacing w:beforeLines="0" w:afterLines="0"/>
      <w:outlineLvl w:val="2"/>
    </w:pPr>
  </w:style>
  <w:style w:type="table" w:customStyle="1" w:styleId="31">
    <w:name w:val="无格式表格 41"/>
    <w:basedOn w:val="15"/>
    <w:qFormat/>
    <w:uiPriority w:val="44"/>
    <w:rPr>
      <w:szCs w:val="21"/>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3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3">
    <w:name w:val="标题 3 字符"/>
    <w:basedOn w:val="18"/>
    <w:link w:val="4"/>
    <w:qFormat/>
    <w:uiPriority w:val="9"/>
    <w:rPr>
      <w:rFonts w:ascii="宋体" w:hAnsi="宋体" w:eastAsia="宋体" w:cs="宋体"/>
      <w:b/>
      <w:bCs/>
      <w:kern w:val="0"/>
      <w:sz w:val="27"/>
      <w:szCs w:val="27"/>
    </w:rPr>
  </w:style>
  <w:style w:type="character" w:customStyle="1" w:styleId="34">
    <w:name w:val="标题 1 字符"/>
    <w:basedOn w:val="18"/>
    <w:link w:val="2"/>
    <w:qFormat/>
    <w:uiPriority w:val="9"/>
    <w:rPr>
      <w:b/>
      <w:bCs/>
      <w:kern w:val="44"/>
      <w:sz w:val="44"/>
      <w:szCs w:val="44"/>
    </w:rPr>
  </w:style>
  <w:style w:type="character" w:customStyle="1" w:styleId="35">
    <w:name w:val="15"/>
    <w:basedOn w:val="18"/>
    <w:qFormat/>
    <w:uiPriority w:val="0"/>
    <w:rPr>
      <w:rFonts w:hint="default" w:ascii="Times New Roman" w:hAnsi="Times New Roman" w:cs="Times New Roman"/>
      <w:color w:val="0000FF"/>
      <w:u w:val="single"/>
    </w:rPr>
  </w:style>
  <w:style w:type="character" w:customStyle="1" w:styleId="36">
    <w:name w:val="批注文字 字符"/>
    <w:basedOn w:val="18"/>
    <w:link w:val="5"/>
    <w:semiHidden/>
    <w:qFormat/>
    <w:uiPriority w:val="99"/>
  </w:style>
  <w:style w:type="character" w:customStyle="1" w:styleId="37">
    <w:name w:val="批注主题 字符"/>
    <w:basedOn w:val="36"/>
    <w:link w:val="14"/>
    <w:semiHidden/>
    <w:qFormat/>
    <w:uiPriority w:val="99"/>
    <w:rPr>
      <w:b/>
      <w:bCs/>
    </w:rPr>
  </w:style>
  <w:style w:type="character" w:customStyle="1" w:styleId="38">
    <w:name w:val="标题 2 字符"/>
    <w:basedOn w:val="18"/>
    <w:link w:val="3"/>
    <w:qFormat/>
    <w:uiPriority w:val="9"/>
    <w:rPr>
      <w:rFonts w:asciiTheme="majorHAnsi" w:hAnsiTheme="majorHAnsi" w:eastAsiaTheme="majorEastAsia" w:cstheme="majorBidi"/>
      <w:b/>
      <w:bCs/>
      <w:sz w:val="32"/>
      <w:szCs w:val="32"/>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4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1">
    <w:name w:val="批注框文本 字符"/>
    <w:basedOn w:val="18"/>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76489</Words>
  <Characters>104180</Characters>
  <Lines>524</Lines>
  <Paragraphs>147</Paragraphs>
  <TotalTime>43</TotalTime>
  <ScaleCrop>false</ScaleCrop>
  <LinksUpToDate>false</LinksUpToDate>
  <CharactersWithSpaces>107809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2021-11-15T19:04:00Z</dcterms:created>
  <dc:creator>万福军</dc:creator>
  <cp:lastModifiedBy>苍白的浅影</cp:lastModifiedBy>
  <cp:lastPrinted>2021-12-03T01:03:00Z</cp:lastPrinted>
  <dcterms:modified xsi:type="dcterms:W3CDTF">2022-06-08T13:51:19Z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7A7989F4AB464453B416A769C07F03BA</vt:lpwstr>
  </property>
</Properties>
</file>