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wordWrap w:val="0"/>
        <w:spacing w:line="560" w:lineRule="exact"/>
        <w:jc w:val="left"/>
        <w:rPr>
          <w:rFonts w:ascii="仿宋_GB2312" w:hAnsi="Times New Roman" w:eastAsia="仿宋_GB2312" w:cs="Times New Roman"/>
          <w:color w:val="000000"/>
          <w:kern w:val="0"/>
          <w:sz w:val="32"/>
          <w:szCs w:val="32"/>
        </w:rPr>
      </w:pPr>
    </w:p>
    <w:p>
      <w:pPr>
        <w:pStyle w:val="12"/>
        <w:keepNext w:val="0"/>
        <w:keepLines w:val="0"/>
        <w:pageBreakBefore w:val="0"/>
        <w:widowControl/>
        <w:kinsoku/>
        <w:wordWrap w:val="0"/>
        <w:overflowPunct/>
        <w:topLinePunct w:val="0"/>
        <w:autoSpaceDE/>
        <w:autoSpaceDN/>
        <w:bidi w:val="0"/>
        <w:adjustRightInd/>
        <w:snapToGrid/>
        <w:spacing w:line="240" w:lineRule="auto"/>
        <w:jc w:val="center"/>
        <w:textAlignment w:val="auto"/>
        <w:outlineLvl w:val="9"/>
        <w:rPr>
          <w:rFonts w:ascii="华文中宋" w:hAnsi="华文中宋" w:eastAsia="华文中宋" w:cs="Times New Roman"/>
          <w:color w:val="000000"/>
          <w:kern w:val="0"/>
          <w:sz w:val="36"/>
          <w:szCs w:val="36"/>
        </w:rPr>
      </w:pPr>
      <w:bookmarkStart w:id="0" w:name="_GoBack"/>
      <w:r>
        <w:rPr>
          <w:rFonts w:hint="eastAsia" w:ascii="华文中宋" w:hAnsi="华文中宋" w:eastAsia="华文中宋" w:cs="Times New Roman"/>
          <w:color w:val="000000"/>
          <w:kern w:val="0"/>
          <w:sz w:val="36"/>
          <w:szCs w:val="36"/>
        </w:rPr>
        <w:t>中华人民共和国禁止携带、寄递进境的动植物及其产品和其他检疫物名录</w:t>
      </w:r>
      <w:bookmarkEnd w:id="0"/>
      <w:r>
        <w:rPr>
          <w:rFonts w:ascii="华文中宋" w:hAnsi="华文中宋" w:eastAsia="华文中宋" w:cs="Times New Roman"/>
          <w:color w:val="000000"/>
          <w:kern w:val="0"/>
          <w:sz w:val="36"/>
          <w:szCs w:val="36"/>
          <w:vertAlign w:val="superscript"/>
        </w:rPr>
        <w:t>[1]</w:t>
      </w:r>
    </w:p>
    <w:p>
      <w:pPr>
        <w:pStyle w:val="12"/>
        <w:keepNext w:val="0"/>
        <w:keepLines w:val="0"/>
        <w:pageBreakBefore w:val="0"/>
        <w:widowControl/>
        <w:kinsoku/>
        <w:wordWrap w:val="0"/>
        <w:overflowPunct/>
        <w:topLinePunct w:val="0"/>
        <w:autoSpaceDE/>
        <w:bidi w:val="0"/>
        <w:adjustRightInd/>
        <w:snapToGrid/>
        <w:spacing w:line="560" w:lineRule="exact"/>
        <w:ind w:left="0" w:leftChars="0"/>
        <w:jc w:val="both"/>
        <w:textAlignment w:val="auto"/>
        <w:outlineLvl w:val="9"/>
        <w:rPr>
          <w:rFonts w:ascii="仿宋_GB2312" w:hAnsi="Times New Roman" w:eastAsia="仿宋_GB2312" w:cs="Times New Roman"/>
          <w:color w:val="000000"/>
          <w:kern w:val="0"/>
          <w:sz w:val="32"/>
          <w:szCs w:val="32"/>
        </w:rPr>
      </w:pPr>
    </w:p>
    <w:p>
      <w:pPr>
        <w:ind w:firstLine="632" w:firstLineChars="200"/>
        <w:rPr>
          <w:rFonts w:hint="default" w:ascii="黑体" w:hAnsi="黑体" w:eastAsia="黑体" w:cs="黑体"/>
          <w:sz w:val="32"/>
          <w:szCs w:val="32"/>
        </w:rPr>
      </w:pPr>
      <w:r>
        <w:rPr>
          <w:rFonts w:hint="eastAsia" w:ascii="黑体" w:hAnsi="黑体" w:eastAsia="黑体" w:cs="黑体"/>
          <w:sz w:val="32"/>
          <w:szCs w:val="32"/>
        </w:rPr>
        <w:t>一、动物及动物产品类</w:t>
      </w:r>
    </w:p>
    <w:p>
      <w:pPr>
        <w:ind w:firstLine="632" w:firstLineChars="200"/>
        <w:rPr>
          <w:rFonts w:hint="default" w:ascii="仿宋_GB2312" w:eastAsia="仿宋_GB2312" w:hAnsiTheme="minorHAnsi" w:cstheme="minorBidi"/>
          <w:sz w:val="32"/>
          <w:szCs w:val="32"/>
        </w:rPr>
      </w:pPr>
      <w:r>
        <w:rPr>
          <w:rFonts w:hint="default" w:ascii="仿宋_GB2312" w:eastAsia="仿宋_GB2312" w:hAnsiTheme="minorHAnsi" w:cstheme="minorBidi"/>
          <w:sz w:val="32"/>
          <w:szCs w:val="32"/>
        </w:rPr>
        <w:t>（一）活动物（犬、猫除外</w:t>
      </w:r>
      <w:r>
        <w:rPr>
          <w:rFonts w:hint="default" w:ascii="Times New Roman" w:hAnsi="Times New Roman" w:eastAsia="仿宋_GB2312" w:cs="Times New Roman"/>
          <w:sz w:val="32"/>
          <w:szCs w:val="32"/>
          <w:vertAlign w:val="superscript"/>
        </w:rPr>
        <w:t>[2]</w:t>
      </w:r>
      <w:r>
        <w:rPr>
          <w:rFonts w:hint="default" w:ascii="仿宋_GB2312" w:eastAsia="仿宋_GB2312" w:hAnsiTheme="minorHAnsi" w:cstheme="minorBidi"/>
          <w:sz w:val="32"/>
          <w:szCs w:val="32"/>
        </w:rPr>
        <w:t>）。包括所有的哺乳动物、鸟类、鱼类、</w:t>
      </w:r>
      <w:r>
        <w:rPr>
          <w:rFonts w:hint="default" w:ascii="仿宋_GB2312" w:eastAsia="仿宋_GB2312" w:hAnsiTheme="minorHAnsi" w:cstheme="minorBidi"/>
          <w:sz w:val="32"/>
          <w:szCs w:val="32"/>
          <w:lang w:eastAsia="zh-CN"/>
        </w:rPr>
        <w:t>甲壳类、</w:t>
      </w:r>
      <w:r>
        <w:rPr>
          <w:rFonts w:hint="default" w:ascii="仿宋_GB2312" w:eastAsia="仿宋_GB2312" w:hAnsiTheme="minorHAnsi" w:cstheme="minorBidi"/>
          <w:sz w:val="32"/>
          <w:szCs w:val="32"/>
        </w:rPr>
        <w:t>两栖类、爬行类、昆虫类和其他无脊椎动物，动物遗传物质。</w:t>
      </w:r>
    </w:p>
    <w:p>
      <w:pPr>
        <w:ind w:firstLine="632" w:firstLineChars="200"/>
        <w:rPr>
          <w:rFonts w:hint="default" w:ascii="仿宋_GB2312" w:eastAsia="仿宋_GB2312" w:hAnsiTheme="minorHAnsi" w:cstheme="minorBidi"/>
          <w:sz w:val="32"/>
          <w:szCs w:val="32"/>
        </w:rPr>
      </w:pPr>
      <w:r>
        <w:rPr>
          <w:rFonts w:hint="default" w:ascii="仿宋_GB2312" w:eastAsia="仿宋_GB2312" w:hAnsiTheme="minorHAnsi" w:cstheme="minorBidi"/>
          <w:sz w:val="32"/>
          <w:szCs w:val="32"/>
        </w:rPr>
        <w:t>（二）（生或熟）肉类（含脏器类）及其制品。</w:t>
      </w:r>
    </w:p>
    <w:p>
      <w:pPr>
        <w:ind w:firstLine="632" w:firstLineChars="200"/>
        <w:rPr>
          <w:rFonts w:hint="default" w:ascii="仿宋_GB2312" w:eastAsia="仿宋_GB2312" w:hAnsiTheme="minorHAnsi" w:cstheme="minorBidi"/>
          <w:sz w:val="32"/>
          <w:szCs w:val="32"/>
          <w:lang w:eastAsia="zh-CN"/>
        </w:rPr>
      </w:pPr>
      <w:r>
        <w:rPr>
          <w:rFonts w:hint="default" w:ascii="仿宋_GB2312" w:eastAsia="仿宋_GB2312" w:hAnsiTheme="minorHAnsi" w:cstheme="minorBidi"/>
          <w:sz w:val="32"/>
          <w:szCs w:val="32"/>
        </w:rPr>
        <w:t>（三）水生动物产品。干制，熟制，发酵后制成的食用酱汁类水</w:t>
      </w:r>
      <w:r>
        <w:rPr>
          <w:rFonts w:hint="default" w:ascii="仿宋_GB2312" w:eastAsia="仿宋_GB2312" w:hAnsiTheme="minorHAnsi" w:cstheme="minorBidi"/>
          <w:sz w:val="32"/>
          <w:szCs w:val="32"/>
          <w:lang w:eastAsia="zh-CN"/>
        </w:rPr>
        <w:t>生动物产品除外。</w:t>
      </w:r>
    </w:p>
    <w:p>
      <w:pPr>
        <w:ind w:firstLine="632" w:firstLineChars="200"/>
        <w:rPr>
          <w:rFonts w:hint="default" w:ascii="仿宋_GB2312" w:eastAsia="仿宋_GB2312" w:hAnsiTheme="minorHAnsi" w:cstheme="minorBidi"/>
          <w:sz w:val="32"/>
          <w:szCs w:val="32"/>
          <w:lang w:eastAsia="zh-CN"/>
        </w:rPr>
      </w:pPr>
      <w:r>
        <w:rPr>
          <w:rFonts w:hint="default" w:ascii="仿宋_GB2312" w:eastAsia="仿宋_GB2312" w:hAnsiTheme="minorHAnsi" w:cstheme="minorBidi"/>
          <w:sz w:val="32"/>
          <w:szCs w:val="32"/>
          <w:lang w:eastAsia="zh-CN"/>
        </w:rPr>
        <w:t>（四）动物源性乳及乳制品。包括生乳、巴氏杀菌乳、灭菌乳、调制乳、发酵乳，奶油、黄油、奶酪、炼乳等乳制品。</w:t>
      </w:r>
    </w:p>
    <w:p>
      <w:pPr>
        <w:ind w:firstLine="632" w:firstLineChars="200"/>
        <w:rPr>
          <w:rFonts w:hint="default" w:ascii="仿宋_GB2312" w:eastAsia="仿宋_GB2312" w:hAnsiTheme="minorHAnsi" w:cstheme="minorBidi"/>
          <w:sz w:val="32"/>
          <w:szCs w:val="32"/>
          <w:lang w:eastAsia="zh-CN"/>
        </w:rPr>
      </w:pPr>
      <w:r>
        <w:rPr>
          <w:rFonts w:hint="default" w:ascii="仿宋_GB2312" w:eastAsia="仿宋_GB2312" w:hAnsiTheme="minorHAnsi" w:cstheme="minorBidi"/>
          <w:sz w:val="32"/>
          <w:szCs w:val="32"/>
          <w:lang w:eastAsia="zh-CN"/>
        </w:rPr>
        <w:t>（五）蛋及其制品。包括鲜蛋、皮蛋、咸蛋、蛋液、蛋壳、蛋黄酱等蛋源产品。</w:t>
      </w:r>
    </w:p>
    <w:p>
      <w:pPr>
        <w:ind w:firstLine="632" w:firstLineChars="200"/>
        <w:rPr>
          <w:rFonts w:hint="default" w:ascii="仿宋_GB2312" w:eastAsia="仿宋_GB2312" w:hAnsiTheme="minorHAnsi" w:cstheme="minorBidi"/>
          <w:sz w:val="32"/>
          <w:szCs w:val="32"/>
          <w:lang w:eastAsia="zh-CN"/>
        </w:rPr>
      </w:pPr>
      <w:r>
        <w:rPr>
          <w:rFonts w:hint="default" w:ascii="仿宋_GB2312" w:eastAsia="仿宋_GB2312" w:hAnsiTheme="minorHAnsi" w:cstheme="minorBidi"/>
          <w:sz w:val="32"/>
          <w:szCs w:val="32"/>
          <w:lang w:eastAsia="zh-CN"/>
        </w:rPr>
        <w:t>（六）燕窝。经商业无菌处理的罐头装燕窝除外。</w:t>
      </w:r>
    </w:p>
    <w:p>
      <w:pPr>
        <w:ind w:firstLine="632" w:firstLineChars="200"/>
        <w:rPr>
          <w:rFonts w:hint="default" w:ascii="仿宋_GB2312" w:eastAsia="仿宋_GB2312" w:hAnsiTheme="minorHAnsi" w:cstheme="minorBidi"/>
          <w:sz w:val="32"/>
          <w:szCs w:val="32"/>
          <w:lang w:eastAsia="zh-CN"/>
        </w:rPr>
      </w:pPr>
      <w:r>
        <w:rPr>
          <w:rFonts w:hint="default" w:ascii="仿宋_GB2312" w:eastAsia="仿宋_GB2312" w:hAnsiTheme="minorHAnsi" w:cstheme="minorBidi"/>
          <w:sz w:val="32"/>
          <w:szCs w:val="32"/>
          <w:lang w:eastAsia="zh-CN"/>
        </w:rPr>
        <w:t>（七）油脂类，皮张，原毛类，蹄（爪）、骨、牙、角类及其制品。经加工处理且无血污、肌肉和脂肪等的蛋壳类、蹄（爪）骨角类、贝壳类、甲壳类等工艺品除外。</w:t>
      </w:r>
    </w:p>
    <w:p>
      <w:pPr>
        <w:ind w:firstLine="632" w:firstLineChars="200"/>
        <w:rPr>
          <w:rFonts w:hint="default" w:ascii="仿宋_GB2312" w:eastAsia="仿宋_GB2312" w:hAnsiTheme="minorHAnsi" w:cstheme="minorBidi"/>
          <w:sz w:val="32"/>
          <w:szCs w:val="32"/>
          <w:lang w:eastAsia="zh-CN"/>
        </w:rPr>
      </w:pPr>
      <w:r>
        <w:rPr>
          <w:rFonts w:hint="default" w:ascii="仿宋_GB2312" w:eastAsia="仿宋_GB2312" w:hAnsiTheme="minorHAnsi" w:cstheme="minorBidi"/>
          <w:sz w:val="32"/>
          <w:szCs w:val="32"/>
          <w:lang w:eastAsia="zh-CN"/>
        </w:rPr>
        <w:t>（八）动物源性饲料、动物源性中药材、动物源性肥料。</w:t>
      </w:r>
    </w:p>
    <w:p>
      <w:pPr>
        <w:ind w:firstLine="632" w:firstLineChars="200"/>
        <w:rPr>
          <w:rFonts w:hint="eastAsia" w:ascii="黑体" w:hAnsi="黑体" w:eastAsia="黑体" w:cs="黑体"/>
          <w:sz w:val="32"/>
          <w:szCs w:val="32"/>
        </w:rPr>
      </w:pPr>
      <w:r>
        <w:rPr>
          <w:rFonts w:hint="eastAsia" w:ascii="黑体" w:hAnsi="黑体" w:eastAsia="黑体" w:cs="黑体"/>
          <w:sz w:val="32"/>
          <w:szCs w:val="32"/>
        </w:rPr>
        <w:t>二、植物及植物产品类</w:t>
      </w:r>
    </w:p>
    <w:p>
      <w:pPr>
        <w:ind w:firstLine="632" w:firstLineChars="200"/>
        <w:rPr>
          <w:rFonts w:hint="default" w:ascii="仿宋_GB2312" w:eastAsia="仿宋_GB2312" w:hAnsiTheme="minorHAnsi" w:cstheme="minorBidi"/>
          <w:sz w:val="32"/>
          <w:szCs w:val="32"/>
        </w:rPr>
      </w:pPr>
      <w:r>
        <w:rPr>
          <w:rFonts w:hint="default" w:ascii="仿宋_GB2312" w:eastAsia="仿宋_GB2312" w:hAnsiTheme="minorHAnsi" w:cstheme="minorBidi"/>
          <w:sz w:val="32"/>
          <w:szCs w:val="32"/>
        </w:rPr>
        <w:t>（九）新鲜水果、蔬菜。</w:t>
      </w:r>
    </w:p>
    <w:p>
      <w:pPr>
        <w:ind w:firstLine="632" w:firstLineChars="200"/>
        <w:rPr>
          <w:rFonts w:hint="default" w:ascii="仿宋_GB2312" w:eastAsia="仿宋_GB2312" w:hAnsiTheme="minorHAnsi" w:cstheme="minorBidi"/>
          <w:sz w:val="32"/>
          <w:szCs w:val="32"/>
        </w:rPr>
      </w:pPr>
      <w:r>
        <w:rPr>
          <w:rFonts w:hint="default" w:ascii="仿宋_GB2312" w:eastAsia="仿宋_GB2312" w:hAnsiTheme="minorHAnsi" w:cstheme="minorBidi"/>
          <w:sz w:val="32"/>
          <w:szCs w:val="32"/>
        </w:rPr>
        <w:t>（十）鲜切花。</w:t>
      </w:r>
    </w:p>
    <w:p>
      <w:pPr>
        <w:ind w:firstLine="632" w:firstLineChars="200"/>
        <w:rPr>
          <w:rFonts w:hint="default" w:ascii="仿宋_GB2312" w:eastAsia="仿宋_GB2312" w:hAnsiTheme="minorHAnsi" w:cstheme="minorBidi"/>
          <w:sz w:val="32"/>
          <w:szCs w:val="32"/>
        </w:rPr>
      </w:pPr>
      <w:r>
        <w:rPr>
          <w:rFonts w:hint="default" w:ascii="仿宋_GB2312" w:eastAsia="仿宋_GB2312" w:hAnsiTheme="minorHAnsi" w:cstheme="minorBidi"/>
          <w:sz w:val="32"/>
          <w:szCs w:val="32"/>
        </w:rPr>
        <w:t>（十一）烟叶。</w:t>
      </w:r>
    </w:p>
    <w:p>
      <w:pPr>
        <w:ind w:firstLine="632" w:firstLineChars="200"/>
        <w:rPr>
          <w:rFonts w:hint="default" w:ascii="仿宋_GB2312" w:eastAsia="仿宋_GB2312" w:hAnsiTheme="minorHAnsi" w:cstheme="minorBidi"/>
          <w:sz w:val="32"/>
          <w:szCs w:val="32"/>
        </w:rPr>
      </w:pPr>
      <w:r>
        <w:rPr>
          <w:rFonts w:hint="default" w:ascii="仿宋_GB2312" w:eastAsia="仿宋_GB2312" w:hAnsiTheme="minorHAnsi" w:cstheme="minorBidi"/>
          <w:sz w:val="32"/>
          <w:szCs w:val="32"/>
        </w:rPr>
        <w:t>（十二）种子、种苗及其他具有繁殖能力的植物、植物产品及材料。</w:t>
      </w:r>
    </w:p>
    <w:p>
      <w:pPr>
        <w:ind w:firstLine="632" w:firstLineChars="200"/>
        <w:rPr>
          <w:rFonts w:hint="default" w:ascii="黑体" w:hAnsi="黑体" w:eastAsia="黑体" w:cs="黑体"/>
          <w:sz w:val="32"/>
          <w:szCs w:val="32"/>
        </w:rPr>
      </w:pPr>
      <w:r>
        <w:rPr>
          <w:rFonts w:hint="default" w:ascii="黑体" w:hAnsi="黑体" w:eastAsia="黑体" w:cs="黑体"/>
          <w:sz w:val="32"/>
          <w:szCs w:val="32"/>
        </w:rPr>
        <w:t>三、其他检疫物类</w:t>
      </w:r>
    </w:p>
    <w:p>
      <w:pPr>
        <w:ind w:firstLine="632" w:firstLineChars="200"/>
        <w:rPr>
          <w:rFonts w:hint="default" w:ascii="仿宋_GB2312" w:eastAsia="仿宋_GB2312" w:hAnsiTheme="minorHAnsi" w:cstheme="minorBidi"/>
          <w:sz w:val="32"/>
          <w:szCs w:val="32"/>
        </w:rPr>
      </w:pPr>
      <w:r>
        <w:rPr>
          <w:rFonts w:hint="default" w:ascii="仿宋_GB2312" w:eastAsia="仿宋_GB2312" w:hAnsiTheme="minorHAnsi" w:cstheme="minorBidi"/>
          <w:sz w:val="32"/>
          <w:szCs w:val="32"/>
        </w:rPr>
        <w:t>（十三）菌种、毒种、寄生虫等动植物病原体，害虫及其他有害生物，兽用生物制品，细胞、器官组织、血液及其制品等生物材料及其他高风险生物因子。</w:t>
      </w:r>
    </w:p>
    <w:p>
      <w:pPr>
        <w:ind w:firstLine="632" w:firstLineChars="200"/>
        <w:rPr>
          <w:rFonts w:hint="default" w:ascii="仿宋_GB2312" w:eastAsia="仿宋_GB2312" w:hAnsiTheme="minorHAnsi" w:cstheme="minorBidi"/>
          <w:sz w:val="32"/>
          <w:szCs w:val="32"/>
        </w:rPr>
      </w:pPr>
      <w:r>
        <w:rPr>
          <w:rFonts w:hint="default" w:ascii="仿宋_GB2312" w:eastAsia="仿宋_GB2312" w:hAnsiTheme="minorHAnsi" w:cstheme="minorBidi"/>
          <w:sz w:val="32"/>
          <w:szCs w:val="32"/>
        </w:rPr>
        <w:t>（十四）动物尸体、动物标本、动物源性废弃物。</w:t>
      </w:r>
    </w:p>
    <w:p>
      <w:pPr>
        <w:ind w:firstLine="632" w:firstLineChars="200"/>
        <w:rPr>
          <w:rFonts w:hint="default" w:ascii="仿宋_GB2312" w:eastAsia="仿宋_GB2312" w:hAnsiTheme="minorHAnsi" w:cstheme="minorBidi"/>
          <w:sz w:val="32"/>
          <w:szCs w:val="32"/>
        </w:rPr>
      </w:pPr>
      <w:r>
        <w:rPr>
          <w:rFonts w:hint="default" w:ascii="仿宋_GB2312" w:eastAsia="仿宋_GB2312" w:hAnsiTheme="minorHAnsi" w:cstheme="minorBidi"/>
          <w:sz w:val="32"/>
          <w:szCs w:val="32"/>
        </w:rPr>
        <w:t>（十五）土壤及有机栽培介质。</w:t>
      </w:r>
    </w:p>
    <w:p>
      <w:pPr>
        <w:ind w:firstLine="632" w:firstLineChars="200"/>
        <w:rPr>
          <w:rFonts w:hint="default" w:ascii="仿宋_GB2312" w:eastAsia="仿宋_GB2312" w:hAnsiTheme="minorHAnsi" w:cstheme="minorBidi"/>
          <w:sz w:val="32"/>
          <w:szCs w:val="32"/>
        </w:rPr>
      </w:pPr>
      <w:r>
        <w:rPr>
          <w:rFonts w:hint="default" w:ascii="仿宋_GB2312" w:eastAsia="仿宋_GB2312" w:hAnsiTheme="minorHAnsi" w:cstheme="minorBidi"/>
          <w:sz w:val="32"/>
          <w:szCs w:val="32"/>
        </w:rPr>
        <w:t>（十六）转基因生物材料。</w:t>
      </w:r>
    </w:p>
    <w:p>
      <w:pPr>
        <w:ind w:firstLine="632" w:firstLineChars="200"/>
        <w:rPr>
          <w:rFonts w:hint="default" w:ascii="仿宋_GB2312" w:eastAsia="仿宋_GB2312" w:hAnsiTheme="minorHAnsi" w:cstheme="minorBidi"/>
          <w:sz w:val="32"/>
          <w:szCs w:val="32"/>
        </w:rPr>
      </w:pPr>
      <w:r>
        <w:rPr>
          <w:rFonts w:hint="default" w:ascii="仿宋_GB2312" w:eastAsia="仿宋_GB2312" w:hAnsiTheme="minorHAnsi" w:cstheme="minorBidi"/>
          <w:sz w:val="32"/>
          <w:szCs w:val="32"/>
        </w:rPr>
        <w:t>（十七）国家禁止进境的其他动植物、动植物产品和其他检疫物。</w:t>
      </w:r>
    </w:p>
    <w:p>
      <w:pPr>
        <w:pStyle w:val="12"/>
        <w:keepNext w:val="0"/>
        <w:keepLines w:val="0"/>
        <w:pageBreakBefore w:val="0"/>
        <w:widowControl/>
        <w:kinsoku/>
        <w:wordWrap w:val="0"/>
        <w:overflowPunct/>
        <w:topLinePunct w:val="0"/>
        <w:autoSpaceDE/>
        <w:bidi w:val="0"/>
        <w:adjustRightInd w:val="0"/>
        <w:snapToGrid w:val="0"/>
        <w:spacing w:before="69" w:after="138" w:line="360" w:lineRule="auto"/>
        <w:ind w:left="0" w:leftChars="0" w:firstLine="632" w:firstLineChars="200"/>
        <w:jc w:val="both"/>
        <w:textAlignment w:val="auto"/>
        <w:outlineLvl w:val="9"/>
        <w:rPr>
          <w:rFonts w:hint="default" w:ascii="Times New Roman" w:hAnsi="Times New Roman" w:eastAsia="仿宋_GB2312" w:cs="Times New Roman"/>
          <w:color w:val="000000"/>
          <w:kern w:val="0"/>
          <w:sz w:val="32"/>
          <w:szCs w:val="32"/>
        </w:rPr>
      </w:pPr>
    </w:p>
    <w:p>
      <w:pPr>
        <w:ind w:firstLine="632" w:firstLineChars="200"/>
        <w:rPr>
          <w:rFonts w:hint="default" w:ascii="仿宋_GB2312" w:eastAsia="仿宋_GB2312" w:hAnsiTheme="minorHAnsi" w:cstheme="minorBidi"/>
          <w:sz w:val="32"/>
          <w:szCs w:val="32"/>
        </w:rPr>
      </w:pPr>
      <w:r>
        <w:rPr>
          <w:rFonts w:hint="default" w:ascii="Times New Roman" w:hAnsi="Times New Roman" w:eastAsia="仿宋_GB2312" w:cs="Times New Roman"/>
          <w:color w:val="000000"/>
          <w:kern w:val="0"/>
          <w:sz w:val="32"/>
          <w:szCs w:val="32"/>
        </w:rPr>
        <w:t>注：1</w:t>
      </w:r>
      <w:r>
        <w:rPr>
          <w:rFonts w:hint="default"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rPr>
        <w:t>通过携带或寄递方式进境的动植物及其产品和其他检疫物，经国家有关行政主管部门审批许可，并具有输出国家或地区官方机构出具的检疫证书，不受此名录的限制。</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outlineLvl w:val="9"/>
        <w:rPr>
          <w:rFonts w:hint="default" w:ascii="仿宋_GB2312" w:eastAsia="仿宋_GB2312" w:hAnsiTheme="minorHAnsi" w:cstheme="minorBidi"/>
          <w:sz w:val="32"/>
          <w:szCs w:val="32"/>
        </w:rPr>
      </w:pPr>
      <w:r>
        <w:rPr>
          <w:rFonts w:hint="default" w:eastAsia="仿宋_GB2312" w:cs="Times New Roman"/>
          <w:color w:val="000000"/>
          <w:kern w:val="0"/>
          <w:sz w:val="32"/>
          <w:szCs w:val="32"/>
        </w:rPr>
        <w:t>2、</w:t>
      </w:r>
      <w:r>
        <w:rPr>
          <w:rFonts w:hint="default" w:ascii="仿宋_GB2312" w:eastAsia="仿宋_GB2312" w:hAnsiTheme="minorHAnsi" w:cstheme="minorBidi"/>
          <w:sz w:val="32"/>
          <w:szCs w:val="32"/>
        </w:rPr>
        <w:t>具有输出国家或地区官方机构出具的动物检疫证书和疫苗接种证书的犬、猫等宠物，每人仅限携带或分离托运一只。具体检疫要求按相关规定执行。</w:t>
      </w: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outlineLvl w:val="9"/>
        <w:rPr>
          <w:rFonts w:hint="default" w:ascii="仿宋_GB2312" w:eastAsia="仿宋_GB2312" w:hAnsiTheme="minorHAnsi" w:cstheme="minorBidi"/>
          <w:sz w:val="32"/>
          <w:szCs w:val="32"/>
        </w:rPr>
      </w:pPr>
      <w:r>
        <w:rPr>
          <w:rFonts w:hint="default" w:eastAsia="仿宋_GB2312" w:cs="Times New Roman"/>
          <w:color w:val="000000"/>
          <w:kern w:val="0"/>
          <w:sz w:val="32"/>
          <w:szCs w:val="32"/>
        </w:rPr>
        <w:t>3、法律、行政法规、部门规章</w:t>
      </w:r>
      <w:r>
        <w:rPr>
          <w:rFonts w:hint="default" w:ascii="Times New Roman" w:hAnsi="Times New Roman" w:eastAsia="仿宋_GB2312" w:cs="Times New Roman"/>
          <w:color w:val="000000"/>
          <w:kern w:val="0"/>
          <w:sz w:val="32"/>
          <w:szCs w:val="32"/>
        </w:rPr>
        <w:t>对禁止携带、寄递进境的动植物及其产品和其他检疫物另有规定的，按相关规</w:t>
      </w:r>
      <w:r>
        <w:rPr>
          <w:rFonts w:hint="default" w:ascii="仿宋_GB2312" w:eastAsia="仿宋_GB2312" w:hAnsiTheme="minorHAnsi" w:cstheme="minorBidi"/>
          <w:sz w:val="32"/>
          <w:szCs w:val="32"/>
        </w:rPr>
        <w:t>定办理。</w:t>
      </w:r>
    </w:p>
    <w:p>
      <w:pPr>
        <w:numPr>
          <w:ilvl w:val="0"/>
          <w:numId w:val="0"/>
        </w:numPr>
        <w:rPr>
          <w:rFonts w:hint="default" w:ascii="仿宋_GB2312" w:eastAsia="仿宋_GB2312" w:hAnsiTheme="minorHAnsi" w:cstheme="minorBidi"/>
          <w:sz w:val="32"/>
          <w:szCs w:val="32"/>
        </w:rPr>
      </w:pPr>
    </w:p>
    <w:p>
      <w:pPr>
        <w:pStyle w:val="12"/>
        <w:keepNext w:val="0"/>
        <w:keepLines w:val="0"/>
        <w:pageBreakBefore w:val="0"/>
        <w:widowControl/>
        <w:kinsoku/>
        <w:wordWrap w:val="0"/>
        <w:overflowPunct/>
        <w:topLinePunct w:val="0"/>
        <w:autoSpaceDE/>
        <w:autoSpaceDN/>
        <w:bidi w:val="0"/>
        <w:adjustRightInd/>
        <w:snapToGrid/>
        <w:spacing w:before="69" w:line="360" w:lineRule="auto"/>
        <w:ind w:left="0" w:leftChars="0" w:firstLine="632" w:firstLineChars="200"/>
        <w:jc w:val="both"/>
        <w:textAlignment w:val="auto"/>
        <w:outlineLvl w:val="9"/>
        <w:rPr>
          <w:rFonts w:hint="default" w:ascii="Times New Roman" w:hAnsi="Times New Roman" w:eastAsia="仿宋_GB2312" w:cs="Times New Roman"/>
          <w:color w:val="000000"/>
          <w:kern w:val="0"/>
          <w:sz w:val="32"/>
          <w:szCs w:val="32"/>
        </w:rPr>
      </w:pPr>
    </w:p>
    <w:p>
      <w:pPr>
        <w:keepNext w:val="0"/>
        <w:keepLines w:val="0"/>
        <w:pageBreakBefore w:val="0"/>
        <w:kinsoku/>
        <w:overflowPunct/>
        <w:topLinePunct w:val="0"/>
        <w:autoSpaceDE/>
        <w:bidi w:val="0"/>
        <w:adjustRightInd/>
        <w:snapToGrid/>
        <w:spacing w:line="288" w:lineRule="auto"/>
        <w:ind w:left="0" w:leftChars="0" w:firstLine="3160" w:firstLineChars="1000"/>
        <w:jc w:val="both"/>
        <w:textAlignment w:val="auto"/>
        <w:outlineLvl w:val="9"/>
        <w:rPr>
          <w:rFonts w:hint="default" w:ascii="Times New Roman" w:hAnsi="Times New Roman" w:eastAsia="仿宋_GB2312" w:cs="Times New Roman"/>
          <w:szCs w:val="32"/>
        </w:rPr>
      </w:pPr>
    </w:p>
    <w:p>
      <w:pPr>
        <w:adjustRightInd w:val="0"/>
        <w:snapToGrid w:val="0"/>
        <w:spacing w:line="288" w:lineRule="auto"/>
        <w:jc w:val="center"/>
        <w:rPr>
          <w:rFonts w:ascii="仿宋_GB2312" w:eastAsia="仿宋_GB2312"/>
          <w:szCs w:val="32"/>
        </w:rPr>
      </w:pPr>
    </w:p>
    <w:p>
      <w:pPr>
        <w:adjustRightInd w:val="0"/>
        <w:snapToGrid w:val="0"/>
        <w:spacing w:line="288" w:lineRule="auto"/>
        <w:jc w:val="center"/>
        <w:rPr>
          <w:rFonts w:ascii="仿宋_GB2312" w:eastAsia="仿宋_GB2312"/>
          <w:szCs w:val="32"/>
        </w:rPr>
      </w:pPr>
    </w:p>
    <w:sectPr>
      <w:footerReference r:id="rId4" w:type="first"/>
      <w:footerReference r:id="rId3" w:type="default"/>
      <w:pgSz w:w="11907" w:h="16840"/>
      <w:pgMar w:top="2098" w:right="1474" w:bottom="1985" w:left="1588" w:header="1814" w:footer="1474" w:gutter="0"/>
      <w:pgNumType w:start="1"/>
      <w:cols w:space="720" w:num="1"/>
      <w:titlePg/>
      <w:docGrid w:type="linesAndChars" w:linePitch="580" w:charSpace="-8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1"/>
                              <w:szCs w:val="22"/>
                            </w:rPr>
                          </w:pPr>
                          <w:r>
                            <w:rPr>
                              <w:sz w:val="21"/>
                              <w:szCs w:val="22"/>
                            </w:rPr>
                            <w:fldChar w:fldCharType="begin"/>
                          </w:r>
                          <w:r>
                            <w:rPr>
                              <w:sz w:val="21"/>
                              <w:szCs w:val="22"/>
                            </w:rPr>
                            <w:instrText xml:space="preserve"> PAGE  \* MERGEFORMAT </w:instrText>
                          </w:r>
                          <w:r>
                            <w:rPr>
                              <w:sz w:val="21"/>
                              <w:szCs w:val="22"/>
                            </w:rPr>
                            <w:fldChar w:fldCharType="separate"/>
                          </w:r>
                          <w:r>
                            <w:rPr>
                              <w:sz w:val="21"/>
                              <w:szCs w:val="22"/>
                            </w:rPr>
                            <w:t>0</w:t>
                          </w:r>
                          <w:r>
                            <w:rPr>
                              <w:sz w:val="21"/>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sz w:val="21"/>
                        <w:szCs w:val="22"/>
                      </w:rPr>
                    </w:pPr>
                    <w:r>
                      <w:rPr>
                        <w:sz w:val="21"/>
                        <w:szCs w:val="22"/>
                      </w:rPr>
                      <w:fldChar w:fldCharType="begin"/>
                    </w:r>
                    <w:r>
                      <w:rPr>
                        <w:sz w:val="21"/>
                        <w:szCs w:val="22"/>
                      </w:rPr>
                      <w:instrText xml:space="preserve"> PAGE  \* MERGEFORMAT </w:instrText>
                    </w:r>
                    <w:r>
                      <w:rPr>
                        <w:sz w:val="21"/>
                        <w:szCs w:val="22"/>
                      </w:rPr>
                      <w:fldChar w:fldCharType="separate"/>
                    </w:r>
                    <w:r>
                      <w:rPr>
                        <w:sz w:val="21"/>
                        <w:szCs w:val="22"/>
                      </w:rPr>
                      <w:t>0</w:t>
                    </w:r>
                    <w:r>
                      <w:rPr>
                        <w:sz w:val="21"/>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CC"/>
    <w:rsid w:val="00097693"/>
    <w:rsid w:val="00172E33"/>
    <w:rsid w:val="0031013C"/>
    <w:rsid w:val="00321685"/>
    <w:rsid w:val="003C05CC"/>
    <w:rsid w:val="003C4987"/>
    <w:rsid w:val="003E688D"/>
    <w:rsid w:val="004E7B60"/>
    <w:rsid w:val="004F5E3E"/>
    <w:rsid w:val="00520369"/>
    <w:rsid w:val="00627CC1"/>
    <w:rsid w:val="006E10E2"/>
    <w:rsid w:val="00726313"/>
    <w:rsid w:val="00817436"/>
    <w:rsid w:val="008601EB"/>
    <w:rsid w:val="008C6E96"/>
    <w:rsid w:val="008F09D0"/>
    <w:rsid w:val="00966598"/>
    <w:rsid w:val="009946CF"/>
    <w:rsid w:val="009B5655"/>
    <w:rsid w:val="009C079B"/>
    <w:rsid w:val="009E284B"/>
    <w:rsid w:val="009E6AB3"/>
    <w:rsid w:val="00A30A36"/>
    <w:rsid w:val="00A33C48"/>
    <w:rsid w:val="00B02B24"/>
    <w:rsid w:val="00B3321C"/>
    <w:rsid w:val="00B506A0"/>
    <w:rsid w:val="00BE49C2"/>
    <w:rsid w:val="00CC7BDD"/>
    <w:rsid w:val="00DE4C36"/>
    <w:rsid w:val="00E10B54"/>
    <w:rsid w:val="00E748D1"/>
    <w:rsid w:val="00EA437A"/>
    <w:rsid w:val="00EC6EAF"/>
    <w:rsid w:val="00EF7684"/>
    <w:rsid w:val="00F00016"/>
    <w:rsid w:val="00FB0935"/>
    <w:rsid w:val="04217FFA"/>
    <w:rsid w:val="0FD1100C"/>
    <w:rsid w:val="23FF61ED"/>
    <w:rsid w:val="29D22936"/>
    <w:rsid w:val="2A1A4AC8"/>
    <w:rsid w:val="2FF9A420"/>
    <w:rsid w:val="32ED2F73"/>
    <w:rsid w:val="39FECF8D"/>
    <w:rsid w:val="3EDF9D2B"/>
    <w:rsid w:val="3F9B3F8A"/>
    <w:rsid w:val="4AD33AC7"/>
    <w:rsid w:val="4FF60EA9"/>
    <w:rsid w:val="5337DE42"/>
    <w:rsid w:val="5AE67613"/>
    <w:rsid w:val="5EC92349"/>
    <w:rsid w:val="5EDB7B03"/>
    <w:rsid w:val="5F7DCF32"/>
    <w:rsid w:val="5F7F112A"/>
    <w:rsid w:val="63DD3F56"/>
    <w:rsid w:val="676FB30F"/>
    <w:rsid w:val="72EE21D2"/>
    <w:rsid w:val="7B6BB122"/>
    <w:rsid w:val="7BA34DC4"/>
    <w:rsid w:val="7BBF89C9"/>
    <w:rsid w:val="7BF24AAE"/>
    <w:rsid w:val="7DBDDC0D"/>
    <w:rsid w:val="7DF34B90"/>
    <w:rsid w:val="7DF9014C"/>
    <w:rsid w:val="7DFE67D1"/>
    <w:rsid w:val="7E9D556E"/>
    <w:rsid w:val="7EDF1342"/>
    <w:rsid w:val="7F6FB33B"/>
    <w:rsid w:val="7FBF11A8"/>
    <w:rsid w:val="7FF7D491"/>
    <w:rsid w:val="97F73CCB"/>
    <w:rsid w:val="97FFF4AF"/>
    <w:rsid w:val="AE9F2A4F"/>
    <w:rsid w:val="AFD1545A"/>
    <w:rsid w:val="AFFC9831"/>
    <w:rsid w:val="B2BF261A"/>
    <w:rsid w:val="B7F46204"/>
    <w:rsid w:val="BA2742C1"/>
    <w:rsid w:val="BBEED57E"/>
    <w:rsid w:val="BCFFA0B5"/>
    <w:rsid w:val="BD6D1907"/>
    <w:rsid w:val="BDFEB47D"/>
    <w:rsid w:val="D4B5D41D"/>
    <w:rsid w:val="D6FFC298"/>
    <w:rsid w:val="D7DD50D3"/>
    <w:rsid w:val="D7FD53C9"/>
    <w:rsid w:val="DD5F7518"/>
    <w:rsid w:val="DDEF4CEC"/>
    <w:rsid w:val="DDFF909E"/>
    <w:rsid w:val="DED74F93"/>
    <w:rsid w:val="DFFFCB4A"/>
    <w:rsid w:val="E6F7A619"/>
    <w:rsid w:val="EBDF15F8"/>
    <w:rsid w:val="EF2F6061"/>
    <w:rsid w:val="EF7EE9B4"/>
    <w:rsid w:val="EF7FED49"/>
    <w:rsid w:val="EFE214C9"/>
    <w:rsid w:val="F6746DBA"/>
    <w:rsid w:val="F716CF9B"/>
    <w:rsid w:val="FB9190F0"/>
    <w:rsid w:val="FBCF6B96"/>
    <w:rsid w:val="FBFE92CA"/>
    <w:rsid w:val="FD4FE0BF"/>
    <w:rsid w:val="FF94BC6C"/>
    <w:rsid w:val="FFF900E7"/>
    <w:rsid w:val="FFFB0047"/>
    <w:rsid w:val="FFFB4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rPr>
  </w:style>
  <w:style w:type="paragraph" w:styleId="4">
    <w:name w:val="heading 3"/>
    <w:basedOn w:val="1"/>
    <w:next w:val="1"/>
    <w:qFormat/>
    <w:uiPriority w:val="0"/>
    <w:pPr>
      <w:keepNext/>
      <w:keepLines/>
      <w:spacing w:before="260" w:after="260" w:line="415" w:lineRule="auto"/>
      <w:outlineLvl w:val="2"/>
    </w:pPr>
    <w:rPr>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sz w:val="18"/>
      <w:szCs w:val="18"/>
    </w:r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customStyle="1" w:styleId="10">
    <w:name w:val="样式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1">
    <w:name w:val="样式 1 三号"/>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12">
    <w:name w:val="样式 10 磅"/>
    <w:qFormat/>
    <w:uiPriority w:val="0"/>
    <w:pPr>
      <w:widowControl w:val="0"/>
      <w:jc w:val="both"/>
    </w:pPr>
    <w:rPr>
      <w:rFonts w:ascii="Calibri" w:hAnsi="Calibri" w:eastAsia="宋体" w:cs="Arial"/>
      <w:kern w:val="2"/>
      <w:sz w:val="21"/>
      <w:szCs w:val="22"/>
      <w:lang w:val="en-US" w:eastAsia="zh-CN" w:bidi="ar-SA"/>
    </w:rPr>
  </w:style>
  <w:style w:type="paragraph" w:customStyle="1" w:styleId="13">
    <w:name w:val="样式 6 小四"/>
    <w:next w:val="11"/>
    <w:qFormat/>
    <w:uiPriority w:val="0"/>
    <w:pPr>
      <w:widowControl w:val="0"/>
      <w:jc w:val="both"/>
    </w:pPr>
    <w:rPr>
      <w:rFonts w:ascii="Cambria" w:hAnsi="Cambria" w:eastAsia="宋体" w:cs="Cambria"/>
      <w:kern w:val="2"/>
      <w:sz w:val="24"/>
      <w:szCs w:val="24"/>
      <w:lang w:val="en-US" w:eastAsia="zh-CN" w:bidi="ar-SA"/>
    </w:rPr>
  </w:style>
  <w:style w:type="paragraph" w:customStyle="1" w:styleId="14">
    <w:name w:val="样式 小四"/>
    <w:qFormat/>
    <w:uiPriority w:val="0"/>
    <w:pPr>
      <w:widowControl w:val="0"/>
    </w:pPr>
    <w:rPr>
      <w:rFonts w:ascii="宋体" w:hAnsi="Times New Roman" w:eastAsia="宋体" w:cs="Times New Roman"/>
      <w:kern w:val="2"/>
      <w:sz w:val="24"/>
      <w:szCs w:val="21"/>
      <w:lang w:val="en-US" w:eastAsia="zh-CN" w:bidi="ar-SA"/>
    </w:rPr>
  </w:style>
  <w:style w:type="character" w:customStyle="1" w:styleId="15">
    <w:name w:val="批注框文本 Char"/>
    <w:basedOn w:val="9"/>
    <w:link w:val="5"/>
    <w:semiHidden/>
    <w:qFormat/>
    <w:uiPriority w:val="99"/>
    <w:rPr>
      <w:rFonts w:eastAsia="方正仿宋_GBK"/>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CGAC</Company>
  <Pages>1</Pages>
  <Words>185</Words>
  <Characters>1059</Characters>
  <Lines>8</Lines>
  <Paragraphs>2</Paragraphs>
  <TotalTime>270</TotalTime>
  <ScaleCrop>false</ScaleCrop>
  <LinksUpToDate>false</LinksUpToDate>
  <CharactersWithSpaces>1242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2021-07-23T22:40:00Z</dcterms:created>
  <dc:creator>万本屹</dc:creator>
  <cp:lastModifiedBy>Administrator</cp:lastModifiedBy>
  <cp:lastPrinted>2021-10-15T15:51:00Z</cp:lastPrinted>
  <dcterms:modified xsi:type="dcterms:W3CDTF">2021-11-02T06:29:36Z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26293CBBC9E44A58B8A7EC8E8F1D29ED</vt:lpwstr>
  </property>
</Properties>
</file>