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合并的监管报告事项</w:t>
      </w:r>
    </w:p>
    <w:tbl>
      <w:tblPr>
        <w:tblStyle w:val="5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3260"/>
        <w:gridCol w:w="6237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报告名称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制度依据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相关条款内容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报送要求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bCs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20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公司治理年度报告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《保险公司董事会运作指引》 (保监发〔2008〕58号)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第八十七条 ……公司应当于每年4月30日前，将经董事会审议的上一年度公司治理报告报中国保监会。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按照</w:t>
            </w:r>
            <w:r>
              <w:rPr>
                <w:rFonts w:hint="eastAsia" w:ascii="仿宋_GB2312" w:hAnsi="等线" w:eastAsia="仿宋_GB2312"/>
                <w:sz w:val="20"/>
              </w:rPr>
              <w:t>《关于进一步规范报送&lt;保险公司治理报告&gt;的通知》(保监发改〔2015〕95号)</w:t>
            </w:r>
            <w:r>
              <w:rPr>
                <w:rFonts w:hint="eastAsia" w:ascii="仿宋_GB2312" w:hAnsi="等线" w:eastAsia="仿宋_GB2312"/>
                <w:color w:val="000000"/>
                <w:sz w:val="20"/>
              </w:rPr>
              <w:t>要求报送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0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《关于进一步规范报送&lt;保险公司治理报告&gt;的通知》(保监发改〔2015〕95号)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一、报送主体和报送时间</w:t>
            </w:r>
            <w:r>
              <w:rPr>
                <w:rFonts w:hint="eastAsia" w:ascii="仿宋_GB2312" w:hAnsi="等线" w:eastAsia="仿宋_GB2312"/>
                <w:sz w:val="20"/>
              </w:rPr>
              <w:br w:type="textWrapping"/>
            </w:r>
            <w:r>
              <w:rPr>
                <w:rFonts w:hint="eastAsia" w:ascii="仿宋_GB2312" w:hAnsi="等线" w:eastAsia="仿宋_GB2312"/>
                <w:sz w:val="20"/>
              </w:rPr>
              <w:t>在中国境内依法设立的保险公司和保险资产管理公司应于每年5月15日前向中国保监会报送上一年度公司治理报告。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bCs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20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反洗钱和反恐怖融资重大风险事项报告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《保险业反洗钱工作管理办法》(保监发〔2011〕52号)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第二十六条 保险公司、保险资产管理公司应当……，及时向保险监管机构报告案件处置情况。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按照</w:t>
            </w:r>
            <w:r>
              <w:rPr>
                <w:rFonts w:hint="eastAsia" w:ascii="仿宋_GB2312" w:hAnsi="等线" w:eastAsia="仿宋_GB2312"/>
                <w:sz w:val="20"/>
              </w:rPr>
              <w:t>《关于进一步做好银行业保险业反洗钱和反恐怖融资工作的通知》(银保监办发〔2019〕238号)</w:t>
            </w:r>
            <w:r>
              <w:rPr>
                <w:rFonts w:hint="eastAsia" w:ascii="仿宋_GB2312" w:hAnsi="等线" w:eastAsia="仿宋_GB2312"/>
                <w:color w:val="000000"/>
                <w:sz w:val="20"/>
              </w:rPr>
              <w:t>要求报送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《关于进一步做好银行业保险业反洗钱和反恐怖融资工作的通知》(银保监办发〔2019〕238号)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七、银行保险机构发生下列情况的，应当及时向银保监会……提交临时报告：</w:t>
            </w:r>
            <w:r>
              <w:rPr>
                <w:rFonts w:hint="eastAsia" w:ascii="仿宋_GB2312" w:hAnsi="等线" w:eastAsia="仿宋_GB2312"/>
                <w:sz w:val="20"/>
              </w:rPr>
              <w:br w:type="textWrapping"/>
            </w:r>
            <w:r>
              <w:rPr>
                <w:rFonts w:hint="eastAsia" w:ascii="仿宋_GB2312" w:hAnsi="等线" w:eastAsia="仿宋_GB2312"/>
                <w:sz w:val="20"/>
              </w:rPr>
              <w:t>……</w:t>
            </w:r>
            <w:r>
              <w:rPr>
                <w:rFonts w:hint="eastAsia" w:ascii="仿宋_GB2312" w:hAnsi="等线" w:eastAsia="仿宋_GB2312"/>
                <w:sz w:val="20"/>
              </w:rPr>
              <w:br w:type="textWrapping"/>
            </w:r>
            <w:r>
              <w:rPr>
                <w:rFonts w:hint="eastAsia" w:ascii="仿宋_GB2312" w:hAnsi="等线" w:eastAsia="仿宋_GB2312"/>
                <w:sz w:val="20"/>
              </w:rPr>
              <w:t>（三）涉</w:t>
            </w:r>
            <w:bookmarkStart w:id="0" w:name="_GoBack"/>
            <w:bookmarkEnd w:id="0"/>
            <w:r>
              <w:rPr>
                <w:rFonts w:hint="eastAsia" w:ascii="仿宋_GB2312" w:hAnsi="等线" w:eastAsia="仿宋_GB2312"/>
                <w:sz w:val="20"/>
              </w:rPr>
              <w:t>及本机构反洗钱和反恐怖融资工作的重大风险事项；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bCs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20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反洗钱工作季度报告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《关于报送保险业反洗钱工作信息的通知》(保监稽查〔2011〕1919号)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三、报送方式和时限</w:t>
            </w:r>
            <w:r>
              <w:rPr>
                <w:rFonts w:hint="eastAsia" w:ascii="仿宋_GB2312" w:hAnsi="等线" w:eastAsia="仿宋_GB2312"/>
                <w:sz w:val="20"/>
              </w:rPr>
              <w:br w:type="textWrapping"/>
            </w:r>
            <w:r>
              <w:rPr>
                <w:rFonts w:hint="eastAsia" w:ascii="仿宋_GB2312" w:hAnsi="等线" w:eastAsia="仿宋_GB2312"/>
                <w:sz w:val="20"/>
              </w:rPr>
              <w:t>反洗钱信息报告采用季报方式，采取纸质和电子文档双介质报送。保险公司、保险资产管理公司的报送时间为季后10个工作日内，……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按照</w:t>
            </w:r>
            <w:r>
              <w:rPr>
                <w:rFonts w:hint="eastAsia" w:ascii="仿宋_GB2312" w:hAnsi="等线" w:eastAsia="仿宋_GB2312"/>
                <w:sz w:val="20"/>
              </w:rPr>
              <w:t>《关于进一步做好银行业保险业反洗钱和反恐怖融资工作的通知》(银保监办发〔2019〕238号)</w:t>
            </w:r>
            <w:r>
              <w:rPr>
                <w:rFonts w:hint="eastAsia" w:ascii="仿宋_GB2312" w:hAnsi="等线" w:eastAsia="仿宋_GB2312"/>
                <w:color w:val="000000"/>
                <w:sz w:val="20"/>
              </w:rPr>
              <w:t>要求报送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《关于进一步做好银行业保险业反洗钱和反恐怖融资工作的通知》(银保监办发〔2019〕238号)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九、各保险公司、保险资产管理公司法人机构应当于每季度结束后10个工作日内，按照附件2规定的模板通过互联网“保险监管专项数据采集平台”向银保监会报送协助查证洗钱案件信息。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62515"/>
    <w:rsid w:val="5E67544E"/>
    <w:rsid w:val="7676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2021-12-24T07:58:00Z</dcterms:created>
  <dc:creator>台闯</dc:creator>
  <cp:lastModifiedBy>银监会</cp:lastModifiedBy>
  <dcterms:modified xsi:type="dcterms:W3CDTF">2021-12-24T08:08:34Z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