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jc w:val="center"/>
        <w:rPr>
          <w:rFonts w:hint="eastAsia" w:ascii="方正小标宋简体" w:hAnsi="Calibri" w:eastAsia="方正小标宋简体"/>
          <w:sz w:val="44"/>
          <w:szCs w:val="44"/>
        </w:rPr>
      </w:pPr>
      <w:bookmarkStart w:id="1" w:name="_GoBack"/>
      <w:r>
        <w:rPr>
          <w:rFonts w:hint="eastAsia" w:ascii="方正小标宋简体" w:eastAsia="方正小标宋简体"/>
          <w:sz w:val="44"/>
          <w:szCs w:val="44"/>
        </w:rPr>
        <w:t>文化和旅游市场举报常见问题清单</w:t>
      </w:r>
    </w:p>
    <w:bookmarkEnd w:id="1"/>
    <w:tbl>
      <w:tblPr>
        <w:tblStyle w:val="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57"/>
        <w:gridCol w:w="491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tblHeader/>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黑体" w:hAnsi="黑体" w:eastAsia="黑体" w:cs="宋体"/>
                <w:sz w:val="24"/>
                <w:szCs w:val="24"/>
              </w:rPr>
            </w:pPr>
            <w:r>
              <w:rPr>
                <w:rFonts w:hint="eastAsia" w:ascii="黑体" w:hAnsi="黑体" w:eastAsia="黑体"/>
                <w:sz w:val="24"/>
                <w:szCs w:val="24"/>
              </w:rPr>
              <w:t>一级分类</w:t>
            </w:r>
          </w:p>
        </w:tc>
        <w:tc>
          <w:tcPr>
            <w:tcW w:w="1457"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黑体" w:hAnsi="黑体" w:eastAsia="黑体" w:cs="宋体"/>
                <w:sz w:val="24"/>
                <w:szCs w:val="24"/>
              </w:rPr>
            </w:pPr>
            <w:r>
              <w:rPr>
                <w:rFonts w:hint="eastAsia" w:ascii="黑体" w:hAnsi="黑体" w:eastAsia="黑体"/>
                <w:sz w:val="24"/>
                <w:szCs w:val="24"/>
              </w:rPr>
              <w:t>二级分类</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黑体" w:hAnsi="黑体" w:eastAsia="黑体" w:cs="宋体"/>
                <w:sz w:val="24"/>
                <w:szCs w:val="24"/>
              </w:rPr>
            </w:pPr>
            <w:r>
              <w:rPr>
                <w:rFonts w:hint="eastAsia" w:ascii="黑体" w:hAnsi="黑体" w:eastAsia="黑体"/>
                <w:sz w:val="24"/>
                <w:szCs w:val="24"/>
              </w:rPr>
              <w:t>举报事项</w:t>
            </w:r>
          </w:p>
        </w:tc>
        <w:tc>
          <w:tcPr>
            <w:tcW w:w="1909"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黑体" w:hAnsi="黑体" w:eastAsia="黑体" w:cs="宋体"/>
                <w:sz w:val="24"/>
                <w:szCs w:val="24"/>
              </w:rPr>
            </w:pPr>
            <w:r>
              <w:rPr>
                <w:rFonts w:hint="eastAsia" w:ascii="黑体" w:hAnsi="黑体" w:eastAsia="黑体"/>
                <w:sz w:val="24"/>
                <w:szCs w:val="24"/>
              </w:rPr>
              <w:t>受理依据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742" w:type="dxa"/>
            <w:vMerge w:val="restart"/>
            <w:tcBorders>
              <w:top w:val="nil"/>
              <w:left w:val="single" w:color="auto" w:sz="4" w:space="0"/>
              <w:right w:val="single" w:color="auto" w:sz="4" w:space="0"/>
            </w:tcBorders>
            <w:noWrap w:val="0"/>
            <w:vAlign w:val="center"/>
          </w:tcPr>
          <w:p>
            <w:pPr>
              <w:spacing w:line="480" w:lineRule="exact"/>
              <w:ind w:left="113" w:right="113"/>
              <w:jc w:val="center"/>
              <w:rPr>
                <w:rFonts w:ascii="仿宋_GB2312" w:hAnsi="Calibri" w:cs="宋体"/>
                <w:sz w:val="24"/>
                <w:szCs w:val="24"/>
              </w:rPr>
            </w:pPr>
            <w:r>
              <w:rPr>
                <w:rFonts w:hint="eastAsia" w:ascii="仿宋_GB2312"/>
                <w:sz w:val="24"/>
                <w:szCs w:val="24"/>
              </w:rPr>
              <w:t>一、文化市场活动</w:t>
            </w: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1.营业性演出活动</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擅自从事营业性演出经营活动</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《营业性演出管理条例》《营业性演出管理条例实施细则》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未经批准擅自出售演出门票</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未经批准举办营业性演出</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营业性演出含有禁止内容</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演出举办单位、文艺表演团体、演员非因不可抗力中止、停止或者退出演出，文艺表演团体、主要演员或主要节目内容等发生变更未及时告知观众，以假唱欺骗观众或为演员假唱提供条件</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2.歌舞娱乐和游艺娱乐等场所经营活动</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擅自从事歌舞娱乐或游艺娱乐等娱乐场所经营活动</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《娱乐场所管理条例》《娱乐场所管理办法》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歌舞娱乐场所播放的曲目和屏幕画面以及游艺娱乐场所的电子游戏机内的游戏项目含有禁止内容</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3.艺术品经营活动</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伪造、变造或者冒充他人名义的艺术品</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《艺术品经营管理办法》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对向消费者隐瞒艺术品来源，或者在艺术品说明中隐瞒重要事项，误导消费者</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4.互联网上网服务营业场所经营活动</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互联网上网服务营业场所违规接纳未成年人</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未按规定核对登记上网消费者有效身份证件</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742"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擅自从事互联网上网服务经营活动</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jc w:val="center"/>
        </w:trPr>
        <w:tc>
          <w:tcPr>
            <w:tcW w:w="742" w:type="dxa"/>
            <w:vMerge w:val="restart"/>
            <w:tcBorders>
              <w:top w:val="single" w:color="auto" w:sz="4" w:space="0"/>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single" w:color="auto" w:sz="4" w:space="0"/>
              <w:left w:val="single" w:color="auto" w:sz="4" w:space="0"/>
              <w:right w:val="single" w:color="auto" w:sz="4" w:space="0"/>
            </w:tcBorders>
            <w:noWrap w:val="0"/>
            <w:vAlign w:val="center"/>
          </w:tcPr>
          <w:p>
            <w:pPr>
              <w:spacing w:line="480" w:lineRule="exact"/>
              <w:rPr>
                <w:rFonts w:ascii="仿宋_GB2312" w:hAnsi="Calibri" w:cs="宋体"/>
                <w:spacing w:val="-6"/>
                <w:sz w:val="24"/>
                <w:szCs w:val="24"/>
              </w:rPr>
            </w:pPr>
            <w:r>
              <w:rPr>
                <w:rFonts w:hint="eastAsia" w:ascii="仿宋_GB2312"/>
                <w:spacing w:val="-6"/>
                <w:sz w:val="24"/>
                <w:szCs w:val="24"/>
              </w:rPr>
              <w:t>5.网络音乐、网络表演、网络动漫等文化活动</w:t>
            </w:r>
          </w:p>
        </w:tc>
        <w:tc>
          <w:tcPr>
            <w:tcW w:w="49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网络表演、网络音乐、网络动漫等网络文化产品含有禁止内容</w:t>
            </w:r>
          </w:p>
        </w:tc>
        <w:tc>
          <w:tcPr>
            <w:tcW w:w="1909" w:type="dxa"/>
            <w:vMerge w:val="restart"/>
            <w:tcBorders>
              <w:top w:val="single" w:color="auto" w:sz="4" w:space="0"/>
              <w:left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《互联网文化管理暂行规定》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擅自从事经营性互联网文化活动</w:t>
            </w:r>
          </w:p>
        </w:tc>
        <w:tc>
          <w:tcPr>
            <w:tcW w:w="1909"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742" w:type="dxa"/>
            <w:vMerge w:val="continue"/>
            <w:tcBorders>
              <w:left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6.社会艺术水平等级考试</w:t>
            </w: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未经批准擅自开办艺术考级活动</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《社会艺术水平考级管理办法》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742"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组织艺术考级前未向社会发布考级简章或考级简章内容不符合规定</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742" w:type="dxa"/>
            <w:vMerge w:val="restart"/>
            <w:tcBorders>
              <w:top w:val="nil"/>
              <w:left w:val="single" w:color="auto" w:sz="4" w:space="0"/>
              <w:bottom w:val="single" w:color="auto" w:sz="4" w:space="0"/>
              <w:right w:val="single" w:color="auto" w:sz="4" w:space="0"/>
            </w:tcBorders>
            <w:noWrap w:val="0"/>
            <w:vAlign w:val="center"/>
          </w:tcPr>
          <w:p>
            <w:pPr>
              <w:spacing w:line="480" w:lineRule="exact"/>
              <w:ind w:left="113" w:right="113"/>
              <w:jc w:val="center"/>
              <w:rPr>
                <w:rFonts w:ascii="仿宋_GB2312" w:hAnsi="Calibri" w:cs="宋体"/>
                <w:sz w:val="24"/>
                <w:szCs w:val="24"/>
              </w:rPr>
            </w:pPr>
            <w:r>
              <w:rPr>
                <w:rFonts w:hint="eastAsia" w:ascii="仿宋_GB2312"/>
                <w:sz w:val="24"/>
                <w:szCs w:val="24"/>
              </w:rPr>
              <w:t>二、旅游市场活动</w:t>
            </w: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bookmarkStart w:id="0" w:name="_Hlk19600939"/>
            <w:r>
              <w:rPr>
                <w:rFonts w:hint="eastAsia" w:ascii="仿宋_GB2312"/>
                <w:sz w:val="24"/>
                <w:szCs w:val="24"/>
              </w:rPr>
              <w:t>7.旅行社业务</w:t>
            </w:r>
            <w:bookmarkEnd w:id="0"/>
            <w:r>
              <w:rPr>
                <w:rFonts w:hint="eastAsia" w:ascii="仿宋_GB2312"/>
                <w:sz w:val="24"/>
                <w:szCs w:val="24"/>
              </w:rPr>
              <w:t>（或在线旅行社）</w:t>
            </w: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未经许可经营旅行社业务</w:t>
            </w:r>
          </w:p>
        </w:tc>
        <w:tc>
          <w:tcPr>
            <w:tcW w:w="1909"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2"/>
                <w:szCs w:val="22"/>
              </w:rPr>
            </w:pPr>
            <w:r>
              <w:rPr>
                <w:rFonts w:hint="eastAsia" w:ascii="仿宋_GB2312"/>
                <w:sz w:val="22"/>
                <w:szCs w:val="22"/>
              </w:rPr>
              <w:t>《中华人民共和国旅游法》《旅行社条例》《导游管理办法》《旅行社条例实施细则》《导游人员管理条例》《中国公民出国旅游管理办法》《旅游安全管理办法》《大陆居民赴台湾地区旅游管理办法》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以不合理的低价组织旅游活动，诱骗旅游者，并通过安排购物或者另行付费旅游项目获取回扣等不正当利益</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未取得旅游者同意，将旅游业务委托给其他旅行社</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未与旅游者签订旅游合同</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拒绝履行合同</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在旅游行程中擅自变更旅游行程安排，严重损害旅游者利益</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8.导游业务</w:t>
            </w:r>
          </w:p>
        </w:tc>
        <w:tc>
          <w:tcPr>
            <w:tcW w:w="4910"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cs="宋体"/>
                <w:sz w:val="24"/>
                <w:szCs w:val="24"/>
              </w:rPr>
            </w:pPr>
            <w:r>
              <w:rPr>
                <w:rFonts w:hint="eastAsia" w:ascii="仿宋_GB2312"/>
                <w:sz w:val="24"/>
                <w:szCs w:val="24"/>
              </w:rPr>
              <w:t>在执业过程中擅自安排购物活动或者另行付费旅游项目</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在执业过程中擅自变更旅游行程或拒绝履行旅游合同</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742"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向旅游者兜售物品</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spacing w:val="-16"/>
                <w:sz w:val="24"/>
                <w:szCs w:val="24"/>
              </w:rPr>
            </w:pPr>
            <w:r>
              <w:rPr>
                <w:rFonts w:hint="eastAsia" w:ascii="仿宋_GB2312"/>
                <w:spacing w:val="-16"/>
                <w:sz w:val="24"/>
                <w:szCs w:val="24"/>
              </w:rPr>
              <w:t>三</w:t>
            </w:r>
          </w:p>
          <w:p>
            <w:pPr>
              <w:spacing w:line="320" w:lineRule="exact"/>
              <w:jc w:val="center"/>
              <w:rPr>
                <w:rFonts w:hint="eastAsia" w:ascii="仿宋_GB2312"/>
                <w:spacing w:val="-16"/>
                <w:sz w:val="24"/>
                <w:szCs w:val="24"/>
              </w:rPr>
            </w:pPr>
            <w:r>
              <w:rPr>
                <w:rFonts w:hint="eastAsia" w:ascii="仿宋_GB2312"/>
                <w:spacing w:val="-16"/>
                <w:sz w:val="24"/>
                <w:szCs w:val="24"/>
              </w:rPr>
              <w:t>、</w:t>
            </w:r>
          </w:p>
          <w:p>
            <w:pPr>
              <w:spacing w:line="320" w:lineRule="exact"/>
              <w:jc w:val="center"/>
              <w:rPr>
                <w:rFonts w:hint="eastAsia" w:ascii="仿宋_GB2312"/>
                <w:spacing w:val="-16"/>
                <w:sz w:val="24"/>
                <w:szCs w:val="24"/>
              </w:rPr>
            </w:pPr>
            <w:r>
              <w:rPr>
                <w:rFonts w:hint="eastAsia" w:ascii="仿宋_GB2312"/>
                <w:spacing w:val="-16"/>
                <w:sz w:val="24"/>
                <w:szCs w:val="24"/>
              </w:rPr>
              <w:t>文</w:t>
            </w:r>
          </w:p>
          <w:p>
            <w:pPr>
              <w:spacing w:line="320" w:lineRule="exact"/>
              <w:jc w:val="center"/>
              <w:rPr>
                <w:rFonts w:hint="eastAsia" w:ascii="仿宋_GB2312"/>
                <w:spacing w:val="-16"/>
                <w:sz w:val="24"/>
                <w:szCs w:val="24"/>
              </w:rPr>
            </w:pPr>
            <w:r>
              <w:rPr>
                <w:rFonts w:hint="eastAsia" w:ascii="仿宋_GB2312"/>
                <w:spacing w:val="-16"/>
                <w:sz w:val="24"/>
                <w:szCs w:val="24"/>
              </w:rPr>
              <w:t>化</w:t>
            </w:r>
          </w:p>
          <w:p>
            <w:pPr>
              <w:spacing w:line="320" w:lineRule="exact"/>
              <w:jc w:val="center"/>
              <w:rPr>
                <w:rFonts w:hint="eastAsia" w:ascii="仿宋_GB2312"/>
                <w:spacing w:val="-16"/>
                <w:sz w:val="24"/>
                <w:szCs w:val="24"/>
              </w:rPr>
            </w:pPr>
            <w:r>
              <w:rPr>
                <w:rFonts w:hint="eastAsia" w:ascii="仿宋_GB2312"/>
                <w:spacing w:val="-16"/>
                <w:sz w:val="24"/>
                <w:szCs w:val="24"/>
              </w:rPr>
              <w:t>市</w:t>
            </w:r>
          </w:p>
          <w:p>
            <w:pPr>
              <w:spacing w:line="320" w:lineRule="exact"/>
              <w:jc w:val="center"/>
              <w:rPr>
                <w:rFonts w:hint="eastAsia" w:ascii="仿宋_GB2312"/>
                <w:spacing w:val="-16"/>
                <w:sz w:val="24"/>
                <w:szCs w:val="24"/>
              </w:rPr>
            </w:pPr>
            <w:r>
              <w:rPr>
                <w:rFonts w:hint="eastAsia" w:ascii="仿宋_GB2312"/>
                <w:spacing w:val="-16"/>
                <w:sz w:val="24"/>
                <w:szCs w:val="24"/>
              </w:rPr>
              <w:t>场</w:t>
            </w:r>
          </w:p>
          <w:p>
            <w:pPr>
              <w:spacing w:line="320" w:lineRule="exact"/>
              <w:jc w:val="center"/>
              <w:rPr>
                <w:rFonts w:hint="eastAsia" w:ascii="仿宋_GB2312"/>
                <w:spacing w:val="-16"/>
                <w:sz w:val="24"/>
                <w:szCs w:val="24"/>
              </w:rPr>
            </w:pPr>
            <w:r>
              <w:rPr>
                <w:rFonts w:hint="eastAsia" w:ascii="仿宋_GB2312"/>
                <w:spacing w:val="-16"/>
                <w:sz w:val="24"/>
                <w:szCs w:val="24"/>
              </w:rPr>
              <w:t>综</w:t>
            </w:r>
          </w:p>
          <w:p>
            <w:pPr>
              <w:spacing w:line="320" w:lineRule="exact"/>
              <w:jc w:val="center"/>
              <w:rPr>
                <w:rFonts w:hint="eastAsia" w:ascii="仿宋_GB2312"/>
                <w:spacing w:val="-16"/>
                <w:sz w:val="24"/>
                <w:szCs w:val="24"/>
              </w:rPr>
            </w:pPr>
            <w:r>
              <w:rPr>
                <w:rFonts w:hint="eastAsia" w:ascii="仿宋_GB2312"/>
                <w:spacing w:val="-16"/>
                <w:sz w:val="24"/>
                <w:szCs w:val="24"/>
              </w:rPr>
              <w:t>合</w:t>
            </w:r>
          </w:p>
          <w:p>
            <w:pPr>
              <w:spacing w:line="320" w:lineRule="exact"/>
              <w:jc w:val="center"/>
              <w:rPr>
                <w:rFonts w:hint="eastAsia" w:ascii="仿宋_GB2312"/>
                <w:spacing w:val="-16"/>
                <w:sz w:val="24"/>
                <w:szCs w:val="24"/>
              </w:rPr>
            </w:pPr>
            <w:r>
              <w:rPr>
                <w:rFonts w:hint="eastAsia" w:ascii="仿宋_GB2312"/>
                <w:spacing w:val="-16"/>
                <w:sz w:val="24"/>
                <w:szCs w:val="24"/>
              </w:rPr>
              <w:t>执</w:t>
            </w:r>
          </w:p>
          <w:p>
            <w:pPr>
              <w:spacing w:line="320" w:lineRule="exact"/>
              <w:jc w:val="center"/>
              <w:rPr>
                <w:rFonts w:hint="eastAsia" w:ascii="仿宋_GB2312"/>
                <w:spacing w:val="-16"/>
                <w:sz w:val="24"/>
                <w:szCs w:val="24"/>
              </w:rPr>
            </w:pPr>
            <w:r>
              <w:rPr>
                <w:rFonts w:hint="eastAsia" w:ascii="仿宋_GB2312"/>
                <w:spacing w:val="-16"/>
                <w:sz w:val="24"/>
                <w:szCs w:val="24"/>
              </w:rPr>
              <w:t>法</w:t>
            </w:r>
          </w:p>
          <w:p>
            <w:pPr>
              <w:spacing w:line="320" w:lineRule="exact"/>
              <w:jc w:val="center"/>
              <w:rPr>
                <w:rFonts w:hint="eastAsia" w:ascii="仿宋_GB2312"/>
                <w:spacing w:val="-16"/>
                <w:sz w:val="24"/>
                <w:szCs w:val="24"/>
              </w:rPr>
            </w:pPr>
            <w:r>
              <w:rPr>
                <w:rFonts w:hint="eastAsia" w:ascii="仿宋_GB2312"/>
                <w:spacing w:val="-16"/>
                <w:sz w:val="24"/>
                <w:szCs w:val="24"/>
              </w:rPr>
              <w:t>队</w:t>
            </w:r>
          </w:p>
          <w:p>
            <w:pPr>
              <w:spacing w:line="320" w:lineRule="exact"/>
              <w:jc w:val="center"/>
              <w:rPr>
                <w:rFonts w:hint="eastAsia" w:ascii="仿宋_GB2312"/>
                <w:spacing w:val="-16"/>
                <w:sz w:val="24"/>
                <w:szCs w:val="24"/>
              </w:rPr>
            </w:pPr>
            <w:r>
              <w:rPr>
                <w:rFonts w:hint="eastAsia" w:ascii="仿宋_GB2312"/>
                <w:spacing w:val="-16"/>
                <w:sz w:val="24"/>
                <w:szCs w:val="24"/>
              </w:rPr>
              <w:t>伍</w:t>
            </w:r>
          </w:p>
          <w:p>
            <w:pPr>
              <w:spacing w:line="320" w:lineRule="exact"/>
              <w:jc w:val="center"/>
              <w:rPr>
                <w:rFonts w:hint="eastAsia" w:ascii="仿宋_GB2312"/>
                <w:spacing w:val="-16"/>
                <w:sz w:val="24"/>
                <w:szCs w:val="24"/>
              </w:rPr>
            </w:pPr>
            <w:r>
              <w:rPr>
                <w:rFonts w:hint="eastAsia" w:ascii="仿宋_GB2312"/>
                <w:spacing w:val="-16"/>
                <w:sz w:val="24"/>
                <w:szCs w:val="24"/>
              </w:rPr>
              <w:t>负</w:t>
            </w:r>
          </w:p>
          <w:p>
            <w:pPr>
              <w:spacing w:line="320" w:lineRule="exact"/>
              <w:jc w:val="center"/>
              <w:rPr>
                <w:rFonts w:hint="eastAsia" w:ascii="仿宋_GB2312"/>
                <w:spacing w:val="-16"/>
                <w:sz w:val="24"/>
                <w:szCs w:val="24"/>
              </w:rPr>
            </w:pPr>
            <w:r>
              <w:rPr>
                <w:rFonts w:hint="eastAsia" w:ascii="仿宋_GB2312"/>
                <w:spacing w:val="-16"/>
                <w:sz w:val="24"/>
                <w:szCs w:val="24"/>
              </w:rPr>
              <w:t>责</w:t>
            </w:r>
          </w:p>
          <w:p>
            <w:pPr>
              <w:spacing w:line="320" w:lineRule="exact"/>
              <w:jc w:val="center"/>
              <w:rPr>
                <w:rFonts w:hint="eastAsia" w:ascii="仿宋_GB2312"/>
                <w:spacing w:val="-16"/>
                <w:sz w:val="24"/>
                <w:szCs w:val="24"/>
              </w:rPr>
            </w:pPr>
            <w:r>
              <w:rPr>
                <w:rFonts w:hint="eastAsia" w:ascii="仿宋_GB2312"/>
                <w:spacing w:val="-16"/>
                <w:sz w:val="24"/>
                <w:szCs w:val="24"/>
              </w:rPr>
              <w:t>监</w:t>
            </w:r>
          </w:p>
          <w:p>
            <w:pPr>
              <w:spacing w:line="320" w:lineRule="exact"/>
              <w:jc w:val="center"/>
              <w:rPr>
                <w:rFonts w:hint="eastAsia" w:ascii="仿宋_GB2312"/>
                <w:spacing w:val="-16"/>
                <w:sz w:val="24"/>
                <w:szCs w:val="24"/>
              </w:rPr>
            </w:pPr>
            <w:r>
              <w:rPr>
                <w:rFonts w:hint="eastAsia" w:ascii="仿宋_GB2312"/>
                <w:spacing w:val="-16"/>
                <w:sz w:val="24"/>
                <w:szCs w:val="24"/>
              </w:rPr>
              <w:t>督</w:t>
            </w:r>
          </w:p>
          <w:p>
            <w:pPr>
              <w:spacing w:line="320" w:lineRule="exact"/>
              <w:jc w:val="center"/>
              <w:rPr>
                <w:rFonts w:hint="eastAsia" w:ascii="仿宋_GB2312"/>
                <w:spacing w:val="-16"/>
                <w:sz w:val="24"/>
                <w:szCs w:val="24"/>
              </w:rPr>
            </w:pPr>
            <w:r>
              <w:rPr>
                <w:rFonts w:hint="eastAsia" w:ascii="仿宋_GB2312"/>
                <w:spacing w:val="-16"/>
                <w:sz w:val="24"/>
                <w:szCs w:val="24"/>
              </w:rPr>
              <w:t>的</w:t>
            </w:r>
          </w:p>
          <w:p>
            <w:pPr>
              <w:spacing w:line="320" w:lineRule="exact"/>
              <w:jc w:val="center"/>
              <w:rPr>
                <w:rFonts w:hint="eastAsia" w:ascii="仿宋_GB2312"/>
                <w:spacing w:val="-16"/>
                <w:sz w:val="24"/>
                <w:szCs w:val="24"/>
              </w:rPr>
            </w:pPr>
            <w:r>
              <w:rPr>
                <w:rFonts w:hint="eastAsia" w:ascii="仿宋_GB2312"/>
                <w:spacing w:val="-16"/>
                <w:sz w:val="24"/>
                <w:szCs w:val="24"/>
              </w:rPr>
              <w:t>其</w:t>
            </w:r>
          </w:p>
          <w:p>
            <w:pPr>
              <w:spacing w:line="320" w:lineRule="exact"/>
              <w:jc w:val="center"/>
              <w:rPr>
                <w:rFonts w:hint="eastAsia" w:ascii="仿宋_GB2312"/>
                <w:spacing w:val="-16"/>
                <w:sz w:val="24"/>
                <w:szCs w:val="24"/>
              </w:rPr>
            </w:pPr>
            <w:r>
              <w:rPr>
                <w:rFonts w:hint="eastAsia" w:ascii="仿宋_GB2312"/>
                <w:spacing w:val="-16"/>
                <w:sz w:val="24"/>
                <w:szCs w:val="24"/>
              </w:rPr>
              <w:t>他</w:t>
            </w:r>
          </w:p>
          <w:p>
            <w:pPr>
              <w:spacing w:line="320" w:lineRule="exact"/>
              <w:jc w:val="center"/>
              <w:rPr>
                <w:rFonts w:hint="eastAsia" w:ascii="仿宋_GB2312"/>
                <w:spacing w:val="-16"/>
                <w:sz w:val="24"/>
                <w:szCs w:val="24"/>
              </w:rPr>
            </w:pPr>
            <w:r>
              <w:rPr>
                <w:rFonts w:hint="eastAsia" w:ascii="仿宋_GB2312"/>
                <w:spacing w:val="-16"/>
                <w:sz w:val="24"/>
                <w:szCs w:val="24"/>
              </w:rPr>
              <w:t>市</w:t>
            </w:r>
          </w:p>
          <w:p>
            <w:pPr>
              <w:spacing w:line="320" w:lineRule="exact"/>
              <w:jc w:val="center"/>
              <w:rPr>
                <w:rFonts w:hint="eastAsia" w:ascii="仿宋_GB2312"/>
                <w:spacing w:val="-16"/>
                <w:sz w:val="24"/>
                <w:szCs w:val="24"/>
              </w:rPr>
            </w:pPr>
            <w:r>
              <w:rPr>
                <w:rFonts w:hint="eastAsia" w:ascii="仿宋_GB2312"/>
                <w:spacing w:val="-16"/>
                <w:sz w:val="24"/>
                <w:szCs w:val="24"/>
              </w:rPr>
              <w:t>场</w:t>
            </w:r>
          </w:p>
          <w:p>
            <w:pPr>
              <w:spacing w:line="320" w:lineRule="exact"/>
              <w:jc w:val="center"/>
              <w:rPr>
                <w:rFonts w:hint="eastAsia" w:ascii="仿宋_GB2312"/>
                <w:spacing w:val="-16"/>
                <w:sz w:val="24"/>
                <w:szCs w:val="24"/>
              </w:rPr>
            </w:pPr>
            <w:r>
              <w:rPr>
                <w:rFonts w:hint="eastAsia" w:ascii="仿宋_GB2312"/>
                <w:spacing w:val="-16"/>
                <w:sz w:val="24"/>
                <w:szCs w:val="24"/>
              </w:rPr>
              <w:t>活</w:t>
            </w:r>
          </w:p>
          <w:p>
            <w:pPr>
              <w:spacing w:line="320" w:lineRule="exact"/>
              <w:jc w:val="center"/>
              <w:rPr>
                <w:rFonts w:hint="eastAsia" w:ascii="仿宋_GB2312"/>
                <w:spacing w:val="-16"/>
                <w:sz w:val="24"/>
                <w:szCs w:val="24"/>
              </w:rPr>
            </w:pPr>
            <w:r>
              <w:rPr>
                <w:rFonts w:hint="eastAsia" w:ascii="仿宋_GB2312"/>
                <w:spacing w:val="-16"/>
                <w:sz w:val="24"/>
                <w:szCs w:val="24"/>
              </w:rPr>
              <w:t>动</w:t>
            </w:r>
          </w:p>
          <w:p>
            <w:pPr>
              <w:spacing w:line="320" w:lineRule="exact"/>
              <w:jc w:val="center"/>
              <w:rPr>
                <w:rFonts w:hint="eastAsia" w:ascii="仿宋_GB2312"/>
                <w:spacing w:val="-16"/>
                <w:sz w:val="24"/>
                <w:szCs w:val="24"/>
              </w:rPr>
            </w:pPr>
            <w:r>
              <w:rPr>
                <w:rFonts w:hint="eastAsia" w:ascii="仿宋_GB2312"/>
                <w:spacing w:val="-16"/>
                <w:sz w:val="24"/>
                <w:szCs w:val="24"/>
              </w:rPr>
              <w:t>*</w:t>
            </w:r>
          </w:p>
          <w:p>
            <w:pPr>
              <w:spacing w:line="320" w:lineRule="exact"/>
              <w:jc w:val="center"/>
              <w:rPr>
                <w:rFonts w:hint="eastAsia" w:ascii="仿宋_GB2312"/>
                <w:spacing w:val="-16"/>
                <w:sz w:val="24"/>
                <w:szCs w:val="24"/>
              </w:rPr>
            </w:pPr>
            <w:r>
              <w:rPr>
                <w:rFonts w:hint="eastAsia" w:ascii="仿宋_GB2312"/>
                <w:spacing w:val="-16"/>
                <w:sz w:val="24"/>
                <w:szCs w:val="24"/>
              </w:rPr>
              <w:t>（</w:t>
            </w:r>
          </w:p>
          <w:p>
            <w:pPr>
              <w:spacing w:line="320" w:lineRule="exact"/>
              <w:jc w:val="center"/>
              <w:rPr>
                <w:rFonts w:hint="eastAsia" w:ascii="仿宋_GB2312"/>
                <w:spacing w:val="-16"/>
                <w:sz w:val="24"/>
                <w:szCs w:val="24"/>
              </w:rPr>
            </w:pPr>
            <w:r>
              <w:rPr>
                <w:rFonts w:hint="eastAsia" w:ascii="仿宋_GB2312"/>
                <w:spacing w:val="-16"/>
                <w:sz w:val="24"/>
                <w:szCs w:val="24"/>
              </w:rPr>
              <w:t>仅</w:t>
            </w:r>
          </w:p>
          <w:p>
            <w:pPr>
              <w:spacing w:line="320" w:lineRule="exact"/>
              <w:jc w:val="center"/>
              <w:rPr>
                <w:rFonts w:hint="eastAsia" w:ascii="仿宋_GB2312"/>
                <w:spacing w:val="-16"/>
                <w:sz w:val="24"/>
                <w:szCs w:val="24"/>
              </w:rPr>
            </w:pPr>
            <w:r>
              <w:rPr>
                <w:rFonts w:hint="eastAsia" w:ascii="仿宋_GB2312"/>
                <w:spacing w:val="-16"/>
                <w:sz w:val="24"/>
                <w:szCs w:val="24"/>
              </w:rPr>
              <w:t>供</w:t>
            </w:r>
          </w:p>
          <w:p>
            <w:pPr>
              <w:spacing w:line="320" w:lineRule="exact"/>
              <w:jc w:val="center"/>
              <w:rPr>
                <w:rFonts w:hint="eastAsia" w:ascii="仿宋_GB2312"/>
                <w:spacing w:val="-16"/>
                <w:sz w:val="24"/>
                <w:szCs w:val="24"/>
              </w:rPr>
            </w:pPr>
            <w:r>
              <w:rPr>
                <w:rFonts w:hint="eastAsia" w:ascii="仿宋_GB2312"/>
                <w:spacing w:val="-16"/>
                <w:sz w:val="24"/>
                <w:szCs w:val="24"/>
              </w:rPr>
              <w:t>参</w:t>
            </w:r>
          </w:p>
          <w:p>
            <w:pPr>
              <w:spacing w:line="320" w:lineRule="exact"/>
              <w:jc w:val="center"/>
              <w:rPr>
                <w:rFonts w:hint="eastAsia" w:ascii="仿宋_GB2312"/>
                <w:spacing w:val="-16"/>
                <w:sz w:val="24"/>
                <w:szCs w:val="24"/>
              </w:rPr>
            </w:pPr>
            <w:r>
              <w:rPr>
                <w:rFonts w:hint="eastAsia" w:ascii="仿宋_GB2312"/>
                <w:spacing w:val="-16"/>
                <w:sz w:val="24"/>
                <w:szCs w:val="24"/>
              </w:rPr>
              <w:t>考</w:t>
            </w:r>
          </w:p>
          <w:p>
            <w:pPr>
              <w:spacing w:line="320" w:lineRule="exact"/>
              <w:jc w:val="center"/>
              <w:rPr>
                <w:rFonts w:ascii="仿宋_GB2312" w:hAnsi="Calibri" w:cs="宋体"/>
                <w:spacing w:val="-16"/>
                <w:sz w:val="24"/>
                <w:szCs w:val="24"/>
              </w:rPr>
            </w:pPr>
            <w:r>
              <w:rPr>
                <w:rFonts w:hint="eastAsia" w:ascii="仿宋_GB2312"/>
                <w:spacing w:val="-16"/>
                <w:sz w:val="24"/>
                <w:szCs w:val="24"/>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9.文物市场活动</w:t>
            </w:r>
          </w:p>
        </w:tc>
        <w:tc>
          <w:tcPr>
            <w:tcW w:w="49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买卖国家禁止买卖的文物或者将禁止出境的文物转让、出租、质押给外国人</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3"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10.出版（版权）市场活动</w:t>
            </w: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明知或应知出版物含有《出版管理条例》第二十五条、第二十六条禁止内容而印刷或者复制、发行的</w:t>
            </w:r>
          </w:p>
        </w:tc>
        <w:tc>
          <w:tcPr>
            <w:tcW w:w="1909"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未经批准，擅自从事出版物的出版、印刷或者复制、进口、发行业务</w:t>
            </w:r>
          </w:p>
        </w:tc>
        <w:tc>
          <w:tcPr>
            <w:tcW w:w="1909" w:type="dxa"/>
            <w:vMerge w:val="continue"/>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Calibri"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8"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未经著作权人许可，复制、发行、表演、放映、广播、汇编、通过信息网络向公众传播其作品同时损害公共利益的</w:t>
            </w:r>
          </w:p>
        </w:tc>
        <w:tc>
          <w:tcPr>
            <w:tcW w:w="1909"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《中华人民共和国著作权法》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11.广播、电视市场活动</w:t>
            </w: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单位、个人擅自安装和使用卫星地面接收设施</w:t>
            </w:r>
          </w:p>
        </w:tc>
        <w:tc>
          <w:tcPr>
            <w:tcW w:w="1909"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传播的视听节目内容违反《互联网视听节目服务管理规定》</w:t>
            </w:r>
          </w:p>
        </w:tc>
        <w:tc>
          <w:tcPr>
            <w:tcW w:w="1909"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《广播电视管理条例》《互联网视听节目服务管理规定》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12.电影市场活动</w:t>
            </w:r>
          </w:p>
        </w:tc>
        <w:tc>
          <w:tcPr>
            <w:tcW w:w="4910" w:type="dxa"/>
            <w:tcBorders>
              <w:top w:val="single" w:color="auto" w:sz="4" w:space="0"/>
              <w:left w:val="nil"/>
              <w:bottom w:val="single" w:color="auto" w:sz="4" w:space="0"/>
              <w:right w:val="single" w:color="auto" w:sz="4" w:space="0"/>
            </w:tcBorders>
            <w:noWrap w:val="0"/>
            <w:vAlign w:val="center"/>
          </w:tcPr>
          <w:p>
            <w:pPr>
              <w:spacing w:line="400" w:lineRule="exact"/>
              <w:rPr>
                <w:rFonts w:ascii="仿宋_GB2312" w:hAnsi="Calibri" w:cs="宋体"/>
                <w:sz w:val="24"/>
                <w:szCs w:val="24"/>
              </w:rPr>
            </w:pPr>
            <w:r>
              <w:rPr>
                <w:rFonts w:hint="eastAsia" w:ascii="仿宋_GB2312"/>
                <w:sz w:val="24"/>
                <w:szCs w:val="24"/>
              </w:rPr>
              <w:t>发行、放映未取得电影公映许可证的电影</w:t>
            </w:r>
          </w:p>
        </w:tc>
        <w:tc>
          <w:tcPr>
            <w:tcW w:w="1909" w:type="dxa"/>
            <w:vMerge w:val="restart"/>
            <w:tcBorders>
              <w:top w:val="nil"/>
              <w:left w:val="nil"/>
              <w:bottom w:val="single" w:color="auto" w:sz="4" w:space="0"/>
              <w:right w:val="single" w:color="auto" w:sz="4" w:space="0"/>
            </w:tcBorders>
            <w:noWrap w:val="0"/>
            <w:vAlign w:val="center"/>
          </w:tcPr>
          <w:p>
            <w:pPr>
              <w:spacing w:line="400" w:lineRule="exact"/>
              <w:rPr>
                <w:rFonts w:ascii="仿宋_GB2312" w:hAnsi="Calibri" w:cs="宋体"/>
                <w:sz w:val="22"/>
                <w:szCs w:val="22"/>
              </w:rPr>
            </w:pPr>
            <w:r>
              <w:rPr>
                <w:rFonts w:hint="eastAsia" w:ascii="仿宋_GB2312"/>
                <w:sz w:val="22"/>
                <w:szCs w:val="22"/>
              </w:rPr>
              <w:t>《中华人民共和国电影产业促进法》《电影管理条例》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1457"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ascii="仿宋_GB2312" w:hAnsi="Calibri" w:cs="宋体"/>
                <w:sz w:val="24"/>
                <w:szCs w:val="24"/>
              </w:rPr>
            </w:pPr>
          </w:p>
        </w:tc>
        <w:tc>
          <w:tcPr>
            <w:tcW w:w="491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Calibri" w:cs="宋体"/>
                <w:sz w:val="24"/>
                <w:szCs w:val="24"/>
              </w:rPr>
            </w:pPr>
            <w:r>
              <w:rPr>
                <w:rFonts w:hint="eastAsia" w:ascii="仿宋_GB2312"/>
                <w:sz w:val="24"/>
                <w:szCs w:val="24"/>
              </w:rPr>
              <w:t>擅自从事电影摄制、发行、放映活动</w:t>
            </w:r>
          </w:p>
        </w:tc>
        <w:tc>
          <w:tcPr>
            <w:tcW w:w="1909" w:type="dxa"/>
            <w:vMerge w:val="continue"/>
            <w:tcBorders>
              <w:top w:val="nil"/>
              <w:left w:val="nil"/>
              <w:bottom w:val="single" w:color="auto" w:sz="4" w:space="0"/>
              <w:right w:val="single" w:color="auto" w:sz="4" w:space="0"/>
            </w:tcBorders>
            <w:noWrap w:val="0"/>
            <w:vAlign w:val="center"/>
          </w:tcPr>
          <w:p>
            <w:pPr>
              <w:widowControl/>
              <w:spacing w:line="480" w:lineRule="exact"/>
              <w:jc w:val="left"/>
              <w:rPr>
                <w:rFonts w:ascii="仿宋_GB2312" w:hAnsi="Calibri" w:cs="宋体"/>
                <w:sz w:val="22"/>
                <w:szCs w:val="22"/>
              </w:rPr>
            </w:pPr>
          </w:p>
        </w:tc>
      </w:tr>
    </w:tbl>
    <w:p>
      <w:pPr>
        <w:ind w:firstLine="278"/>
      </w:pPr>
      <w:r>
        <w:rPr>
          <w:rFonts w:hint="eastAsia" w:ascii="仿宋_GB2312"/>
          <w:sz w:val="24"/>
          <w:szCs w:val="24"/>
        </w:rPr>
        <w:t>注：上述列表问题仅涉及部分常见的文化市场综合执法职责事项。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6AC2"/>
    <w:rsid w:val="47F9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2021-11-18T01:48:00Z</dcterms:created>
  <dc:creator>MSW</dc:creator>
  <cp:lastModifiedBy>MSW</cp:lastModifiedBy>
  <dcterms:modified xsi:type="dcterms:W3CDTF">2021-11-18T01:49:24Z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