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56" w:beforeLines="50" w:after="156" w:afterLines="50" w:line="560" w:lineRule="exact"/>
        <w:jc w:val="center"/>
        <w:rPr>
          <w:rFonts w:hint="default"/>
          <w:color w:val="auto"/>
          <w:lang w:val="en-US" w:eastAsia="zh-CN"/>
        </w:rPr>
      </w:pPr>
    </w:p>
    <w:p>
      <w:pPr>
        <w:pStyle w:val="3"/>
        <w:snapToGrid w:val="0"/>
        <w:spacing w:before="156" w:beforeLines="50" w:after="156" w:afterLines="50" w:line="560" w:lineRule="exact"/>
        <w:jc w:val="center"/>
        <w:rPr>
          <w:rFonts w:ascii="仿宋" w:hAnsi="仿宋" w:eastAsia="仿宋"/>
          <w:color w:val="auto"/>
          <w:szCs w:val="32"/>
        </w:rPr>
      </w:pPr>
    </w:p>
    <w:p>
      <w:pPr>
        <w:spacing w:line="560" w:lineRule="exact"/>
        <w:rPr>
          <w:color w:val="auto"/>
        </w:rPr>
      </w:pPr>
    </w:p>
    <w:p>
      <w:pPr>
        <w:pStyle w:val="3"/>
        <w:snapToGrid w:val="0"/>
        <w:spacing w:before="156" w:beforeLines="50" w:after="156" w:afterLines="50" w:line="560" w:lineRule="exact"/>
        <w:jc w:val="center"/>
        <w:rPr>
          <w:rFonts w:ascii="仿宋" w:hAnsi="仿宋" w:eastAsia="仿宋" w:cs="方正小标宋简体"/>
          <w:bCs w:val="0"/>
          <w:color w:val="auto"/>
          <w:sz w:val="52"/>
          <w:szCs w:val="52"/>
        </w:rPr>
      </w:pPr>
      <w:bookmarkStart w:id="0" w:name="_Toc78921577"/>
      <w:r>
        <w:rPr>
          <w:rFonts w:hint="eastAsia" w:ascii="仿宋" w:hAnsi="仿宋" w:eastAsia="仿宋" w:cs="方正小标宋简体"/>
          <w:bCs w:val="0"/>
          <w:color w:val="auto"/>
          <w:sz w:val="52"/>
          <w:szCs w:val="52"/>
        </w:rPr>
        <w:t>“十四五”时期</w:t>
      </w:r>
      <w:bookmarkEnd w:id="0"/>
      <w:r>
        <w:rPr>
          <w:rFonts w:hint="eastAsia" w:ascii="仿宋" w:hAnsi="仿宋" w:eastAsia="仿宋" w:cs="方正小标宋简体"/>
          <w:bCs w:val="0"/>
          <w:color w:val="auto"/>
          <w:sz w:val="52"/>
          <w:szCs w:val="52"/>
        </w:rPr>
        <w:t>顺义区</w:t>
      </w:r>
    </w:p>
    <w:p>
      <w:pPr>
        <w:pStyle w:val="3"/>
        <w:snapToGrid w:val="0"/>
        <w:spacing w:before="156" w:beforeLines="50" w:after="156" w:afterLines="50" w:line="560" w:lineRule="exact"/>
        <w:jc w:val="center"/>
        <w:rPr>
          <w:rFonts w:hint="eastAsia" w:ascii="仿宋" w:hAnsi="仿宋" w:eastAsia="仿宋" w:cs="方正小标宋简体"/>
          <w:bCs w:val="0"/>
          <w:color w:val="auto"/>
          <w:sz w:val="52"/>
          <w:szCs w:val="52"/>
        </w:rPr>
      </w:pPr>
      <w:bookmarkStart w:id="1" w:name="_Toc84857745"/>
      <w:bookmarkStart w:id="2" w:name="_Toc78921578"/>
      <w:r>
        <w:rPr>
          <w:rFonts w:hint="eastAsia" w:ascii="仿宋" w:hAnsi="仿宋" w:eastAsia="仿宋" w:cs="方正小标宋简体"/>
          <w:bCs w:val="0"/>
          <w:color w:val="auto"/>
          <w:sz w:val="52"/>
          <w:szCs w:val="52"/>
        </w:rPr>
        <w:t>金融业发展规划</w:t>
      </w:r>
      <w:bookmarkEnd w:id="1"/>
      <w:bookmarkEnd w:id="2"/>
    </w:p>
    <w:p>
      <w:pPr>
        <w:rPr>
          <w:rFonts w:hint="eastAsia" w:ascii="仿宋" w:hAnsi="仿宋" w:eastAsia="仿宋" w:cs="方正小标宋简体"/>
          <w:bCs w:val="0"/>
          <w:color w:val="auto"/>
          <w:sz w:val="52"/>
          <w:szCs w:val="52"/>
        </w:rPr>
      </w:pPr>
    </w:p>
    <w:p>
      <w:pPr>
        <w:pStyle w:val="2"/>
        <w:rPr>
          <w:rFonts w:hint="eastAsia" w:ascii="仿宋" w:hAnsi="仿宋" w:eastAsia="仿宋" w:cs="方正小标宋简体"/>
          <w:bCs w:val="0"/>
          <w:color w:val="auto"/>
          <w:sz w:val="52"/>
          <w:szCs w:val="52"/>
        </w:rPr>
      </w:pPr>
    </w:p>
    <w:p>
      <w:pPr>
        <w:rPr>
          <w:rFonts w:hint="eastAsia" w:ascii="仿宋" w:hAnsi="仿宋" w:eastAsia="仿宋" w:cs="方正小标宋简体"/>
          <w:bCs w:val="0"/>
          <w:color w:val="auto"/>
          <w:sz w:val="52"/>
          <w:szCs w:val="52"/>
        </w:rPr>
      </w:pPr>
    </w:p>
    <w:p>
      <w:pPr>
        <w:pStyle w:val="2"/>
        <w:rPr>
          <w:rFonts w:hint="eastAsia" w:ascii="仿宋" w:hAnsi="仿宋" w:eastAsia="仿宋" w:cs="方正小标宋简体"/>
          <w:bCs w:val="0"/>
          <w:color w:val="auto"/>
          <w:sz w:val="52"/>
          <w:szCs w:val="52"/>
        </w:rPr>
      </w:pPr>
    </w:p>
    <w:p>
      <w:pPr>
        <w:rPr>
          <w:rFonts w:hint="eastAsia" w:ascii="仿宋" w:hAnsi="仿宋" w:eastAsia="仿宋" w:cs="方正小标宋简体"/>
          <w:bCs w:val="0"/>
          <w:color w:val="auto"/>
          <w:sz w:val="52"/>
          <w:szCs w:val="52"/>
        </w:rPr>
      </w:pPr>
    </w:p>
    <w:p>
      <w:pPr>
        <w:pStyle w:val="2"/>
        <w:ind w:left="0" w:leftChars="0" w:firstLine="0" w:firstLineChars="0"/>
        <w:jc w:val="center"/>
        <w:rPr>
          <w:rFonts w:hint="eastAsia" w:ascii="楷体_GB2312" w:hAnsi="楷体_GB2312" w:eastAsia="楷体_GB2312" w:cs="楷体_GB2312"/>
          <w:b w:val="0"/>
          <w:bCs w:val="0"/>
          <w:i w:val="0"/>
          <w:color w:val="auto"/>
          <w:kern w:val="2"/>
          <w:sz w:val="32"/>
          <w:szCs w:val="32"/>
          <w:lang w:val="en-US" w:eastAsia="zh-CN" w:bidi="ar-SA"/>
        </w:rPr>
      </w:pPr>
      <w:r>
        <w:rPr>
          <w:rFonts w:hint="eastAsia" w:ascii="楷体_GB2312" w:hAnsi="楷体_GB2312" w:eastAsia="楷体_GB2312" w:cs="楷体_GB2312"/>
          <w:b w:val="0"/>
          <w:bCs w:val="0"/>
          <w:i w:val="0"/>
          <w:color w:val="auto"/>
          <w:kern w:val="2"/>
          <w:sz w:val="32"/>
          <w:szCs w:val="32"/>
          <w:lang w:val="en-US" w:eastAsia="zh-CN" w:bidi="ar-SA"/>
        </w:rPr>
        <w:t>顺义区金融服务办公室</w:t>
      </w:r>
    </w:p>
    <w:p>
      <w:pPr>
        <w:jc w:val="center"/>
        <w:rPr>
          <w:rFonts w:hint="eastAsia" w:ascii="楷体_GB2312" w:hAnsi="楷体_GB2312" w:eastAsia="楷体_GB2312" w:cs="楷体_GB2312"/>
          <w:b w:val="0"/>
          <w:bCs w:val="0"/>
          <w:i w:val="0"/>
          <w:color w:val="auto"/>
          <w:kern w:val="2"/>
          <w:sz w:val="32"/>
          <w:szCs w:val="32"/>
          <w:lang w:val="en-US" w:eastAsia="zh-CN" w:bidi="ar-SA"/>
        </w:rPr>
      </w:pPr>
      <w:r>
        <w:rPr>
          <w:rFonts w:hint="eastAsia" w:ascii="楷体_GB2312" w:hAnsi="楷体_GB2312" w:eastAsia="楷体_GB2312" w:cs="楷体_GB2312"/>
          <w:b w:val="0"/>
          <w:bCs w:val="0"/>
          <w:i w:val="0"/>
          <w:color w:val="auto"/>
          <w:kern w:val="2"/>
          <w:sz w:val="32"/>
          <w:szCs w:val="32"/>
          <w:lang w:val="en-US" w:eastAsia="zh-CN" w:bidi="ar-SA"/>
        </w:rPr>
        <w:t>2022年1月</w:t>
      </w:r>
    </w:p>
    <w:p>
      <w:pPr>
        <w:snapToGrid w:val="0"/>
        <w:spacing w:before="156" w:beforeLines="50" w:after="156" w:afterLines="50" w:line="560" w:lineRule="exact"/>
        <w:rPr>
          <w:color w:val="auto"/>
          <w:szCs w:val="32"/>
        </w:rPr>
      </w:pPr>
      <w:r>
        <w:rPr>
          <w:rFonts w:ascii="仿宋" w:hAnsi="仿宋" w:eastAsia="仿宋"/>
          <w:b/>
          <w:color w:val="auto"/>
          <w:szCs w:val="32"/>
        </w:rPr>
        <w:br w:type="page"/>
      </w:r>
    </w:p>
    <w:p>
      <w:pPr>
        <w:pStyle w:val="2"/>
        <w:ind w:left="0" w:leftChars="0" w:firstLine="0" w:firstLineChars="0"/>
        <w:rPr>
          <w:rFonts w:hint="eastAsia" w:ascii="仿宋" w:hAnsi="仿宋" w:eastAsia="仿宋" w:cs="仿宋"/>
          <w:kern w:val="2"/>
          <w:sz w:val="32"/>
          <w:szCs w:val="32"/>
          <w:lang w:val="en-US" w:eastAsia="zh-CN" w:bidi="ar-SA"/>
        </w:rPr>
      </w:pPr>
    </w:p>
    <w:p>
      <w:pPr>
        <w:rPr>
          <w:rFonts w:hint="eastAsia"/>
          <w:lang w:val="en-US" w:eastAsia="zh-CN"/>
        </w:rPr>
      </w:pPr>
    </w:p>
    <w:sdt>
      <w:sdtPr>
        <w:rPr>
          <w:rFonts w:hint="eastAsia" w:ascii="仿宋" w:hAnsi="仿宋" w:eastAsia="仿宋" w:cs="仿宋"/>
          <w:kern w:val="2"/>
          <w:sz w:val="36"/>
          <w:szCs w:val="36"/>
          <w:lang w:val="en-US" w:eastAsia="zh-CN" w:bidi="ar-SA"/>
        </w:rPr>
        <w:id w:val="716316812"/>
        <w:docPartObj>
          <w:docPartGallery w:val="Table of Contents"/>
          <w:docPartUnique/>
        </w:docPartObj>
      </w:sdtPr>
      <w:sdtEndPr>
        <w:rPr>
          <w:rFonts w:ascii="Calibri" w:hAnsi="Calibri" w:eastAsia="宋体" w:cs="黑体"/>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640" w:lineRule="exact"/>
            <w:ind w:left="0" w:leftChars="0" w:right="0" w:rightChars="0" w:firstLine="0" w:firstLineChars="0"/>
            <w:jc w:val="center"/>
            <w:textAlignment w:val="auto"/>
            <w:rPr>
              <w:rFonts w:hint="eastAsia" w:ascii="仿宋" w:hAnsi="仿宋" w:eastAsia="仿宋" w:cs="仿宋"/>
              <w:sz w:val="36"/>
              <w:szCs w:val="36"/>
            </w:rPr>
          </w:pPr>
          <w:bookmarkStart w:id="3" w:name="_Toc792709127_WPSOffice_Type3"/>
          <w:r>
            <w:rPr>
              <w:rFonts w:hint="eastAsia" w:ascii="仿宋" w:hAnsi="仿宋" w:eastAsia="仿宋" w:cs="仿宋"/>
              <w:sz w:val="36"/>
              <w:szCs w:val="36"/>
            </w:rPr>
            <w:t>目</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录</w:t>
          </w:r>
        </w:p>
        <w:p>
          <w:pPr>
            <w:rPr>
              <w:rFonts w:hint="eastAsia"/>
            </w:rPr>
          </w:pP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_Toc911046270_WPSOffice_Level1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b8d83847-312c-4b8c-88bc-5df1f98fdd9d}"/>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五”时期顺义区金融业发展</w:t>
              </w:r>
              <w:r>
                <w:rPr>
                  <w:rFonts w:hint="eastAsia" w:ascii="仿宋" w:hAnsi="仿宋" w:eastAsia="仿宋" w:cs="仿宋"/>
                  <w:sz w:val="32"/>
                  <w:szCs w:val="32"/>
                  <w:lang w:eastAsia="zh-CN"/>
                </w:rPr>
                <w:t>规划</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_Toc911046270_WPSOffice_Level1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5c5be15f-e0a8-4122-a2cd-7fb016418100}"/>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一、“十三五”时期顺义区金融业发展回顾</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_Toc792709127_WPSOffice_Level2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7d6ff832-84f3-472b-99ed-3ad5716f612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（一）“十三五”时期顺义区金融业发展的成绩</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_Toc777464904_WPSOffice_Level2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70208ce6-786d-4ba1-9a81-4b76627ab76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（二）“十三五”时期顺义区金融业发展的不足</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_Toc792709127_WPSOffice_Level1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79116c87-f91b-454d-b515-054fb4abc754}"/>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二、“十四五”时期顺义区金融业发展的形势</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_Toc100908213_WPSOffice_Level2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f8254ef1-de54-4e49-b9b0-877e47dd2a1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（一）“十四五”时期顺义区金融业发展的机遇</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_Toc1834998956_WPSOffice_Level2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9358f03f-9df0-46fd-864b-b6c3a119414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（二）“十四五”时期顺义区金融业发展的挑战</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9</w:t>
          </w:r>
          <w:r>
            <w:rPr>
              <w:rFonts w:hint="eastAsia" w:ascii="仿宋" w:hAnsi="仿宋" w:eastAsia="仿宋" w:cs="仿宋"/>
              <w:sz w:val="32"/>
              <w:szCs w:val="32"/>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_Toc777464904_WPSOffice_Level1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003b6d91-a662-4b96-a768-b6eb73ac6caa}"/>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三、“十四五”时期顺义区金融业发展的指导思想、基本原则和发展目标</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_Toc1514239539_WPSOffice_Level2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9f42ff5d-e588-4a12-8829-0b96476d39e2}"/>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（一）指导思想</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_Toc229426063_WPSOffice_Level2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42f8fd46-f04b-4b11-a6d7-8c51b68f0121}"/>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（二）基本原则</w:t>
              </w:r>
            </w:sdtContent>
          </w:sdt>
          <w:r>
            <w:rPr>
              <w:rFonts w:hint="eastAsia" w:ascii="仿宋" w:hAnsi="仿宋" w:eastAsia="仿宋" w:cs="仿宋"/>
              <w:sz w:val="32"/>
              <w:szCs w:val="32"/>
            </w:rPr>
            <w:tab/>
          </w:r>
          <w:bookmarkStart w:id="4" w:name="_Toc229426063_WPSOffice_Level2Page"/>
          <w:r>
            <w:rPr>
              <w:rFonts w:hint="eastAsia" w:ascii="仿宋" w:hAnsi="仿宋" w:eastAsia="仿宋" w:cs="仿宋"/>
              <w:sz w:val="32"/>
              <w:szCs w:val="32"/>
            </w:rPr>
            <w:t>1</w:t>
          </w:r>
          <w:bookmarkEnd w:id="4"/>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_Toc865790835_WPSOffice_Level2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fbbe0506-3863-4ce2-a61d-350fc0ce6c00}"/>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（三）发展目标</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_Toc100908213_WPSOffice_Level1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c01efa0f-5f75-4c2a-833a-f342c67848f0}"/>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四、“十四五”时期顺义区金融业发展的主要举措</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_Toc1348303020_WPSOffice_Level2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380cb971-5d7b-4410-be46-10a770f69434}"/>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（一）以招商引资为内核，以特色发展为方向，与时俱进全力构建顺义金融产业发展新格局</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_Toc1997108508_WPSOffice_Level2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02cbf305-507a-418c-91c5-6426fc9d43a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（二）以风险防范为前提，以关口前移为导向，多措并举坚决筑牢金融风险防范防火墙</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_Toc1174445966_WPSOffice_Level2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c674a56c-d10f-4510-9f21-9262e98fc156}"/>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（三）以金融支持实体经济为本源，以产融对接为手段，强力支持区域经济社会高质量发展</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_Toc1834998956_WPSOffice_Level1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28e807f3-3d89-457e-909f-4c9e9edbbee5}"/>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五、“十四五”时期顺义区金融业发展的保障措施</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_Toc977546354_WPSOffice_Level2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37ec8504-fef6-4879-9604-b356b6f5afb3}"/>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（一）强化组织领导</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_Toc1292595623_WPSOffice_Level2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670f2dd0-8bd5-45db-a52c-441d07895481}"/>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（二）确保落地实施</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23"/>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_Toc710220059_WPSOffice_Level2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d6bcee76-65f3-4ce4-ad0e-81761e07696b}"/>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rPr>
                <w:t>（三）加强效果评估</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pPr>
            <w:pStyle w:val="22"/>
            <w:keepNext w:val="0"/>
            <w:keepLines w:val="0"/>
            <w:pageBreakBefore w:val="0"/>
            <w:tabs>
              <w:tab w:val="right" w:leader="dot" w:pos="8306"/>
            </w:tabs>
            <w:kinsoku/>
            <w:wordWrap/>
            <w:overflowPunct/>
            <w:topLinePunct w:val="0"/>
            <w:autoSpaceDE/>
            <w:autoSpaceDN/>
            <w:bidi w:val="0"/>
            <w:adjustRightInd/>
            <w:snapToGrid/>
            <w:spacing w:line="640" w:lineRule="exact"/>
            <w:textAlignment w:val="auto"/>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_Toc1514239539_WPSOffice_Level1 </w:instrText>
          </w:r>
          <w:r>
            <w:rPr>
              <w:rFonts w:hint="eastAsia" w:ascii="仿宋" w:hAnsi="仿宋" w:eastAsia="仿宋" w:cs="仿宋"/>
              <w:sz w:val="32"/>
              <w:szCs w:val="32"/>
            </w:rPr>
            <w:fldChar w:fldCharType="separate"/>
          </w:r>
          <w:sdt>
            <w:sdtPr>
              <w:rPr>
                <w:rFonts w:hint="eastAsia" w:ascii="仿宋" w:hAnsi="仿宋" w:eastAsia="仿宋" w:cs="仿宋"/>
                <w:kern w:val="2"/>
                <w:sz w:val="32"/>
                <w:szCs w:val="32"/>
                <w:lang w:val="en-US" w:eastAsia="zh-CN" w:bidi="ar-SA"/>
              </w:rPr>
              <w:id w:val="716316812"/>
              <w:placeholder>
                <w:docPart w:val="{3ff5afd3-6b8e-4b40-a5fb-752df39524ec}"/>
              </w:placeholder>
            </w:sdtPr>
            <w:sdtEndPr>
              <w:rPr>
                <w:rFonts w:hint="eastAsia" w:ascii="仿宋" w:hAnsi="仿宋" w:eastAsia="仿宋" w:cs="仿宋"/>
                <w:kern w:val="2"/>
                <w:sz w:val="32"/>
                <w:szCs w:val="32"/>
                <w:lang w:val="en-US" w:eastAsia="zh-CN" w:bidi="ar-SA"/>
              </w:rPr>
            </w:sdtEndPr>
            <w:sdtContent>
              <w:r>
                <w:rPr>
                  <w:rFonts w:hint="eastAsia" w:ascii="仿宋" w:hAnsi="仿宋" w:eastAsia="仿宋" w:cs="仿宋"/>
                  <w:sz w:val="32"/>
                  <w:szCs w:val="32"/>
                  <w:lang w:val="en-US" w:eastAsia="zh-CN"/>
                </w:rPr>
                <w:t>附件：</w:t>
              </w:r>
              <w:r>
                <w:rPr>
                  <w:rFonts w:hint="eastAsia" w:ascii="仿宋" w:hAnsi="仿宋" w:eastAsia="仿宋" w:cs="仿宋"/>
                  <w:sz w:val="32"/>
                  <w:szCs w:val="32"/>
                </w:rPr>
                <w:t>顺义区“十四五”时期金融业发展规划重点任务清单</w:t>
              </w:r>
            </w:sdtContent>
          </w:sdt>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bookmarkEnd w:id="3"/>
          <w:r>
            <w:rPr>
              <w:rFonts w:hint="eastAsia" w:ascii="仿宋" w:hAnsi="仿宋" w:eastAsia="仿宋" w:cs="仿宋"/>
              <w:sz w:val="32"/>
              <w:szCs w:val="32"/>
              <w:lang w:val="en-US" w:eastAsia="zh-CN"/>
            </w:rPr>
            <w:t>9</w:t>
          </w:r>
        </w:p>
      </w:sdtContent>
    </w:sdt>
    <w:p>
      <w:pPr>
        <w:rPr>
          <w:rFonts w:hint="eastAsia"/>
          <w:b/>
          <w:bCs/>
          <w:color w:val="auto"/>
          <w:lang w:val="en-US" w:eastAsia="zh-CN"/>
        </w:rPr>
      </w:pPr>
      <w:bookmarkStart w:id="5" w:name="_Toc328106899_WPSOffice_Level1"/>
      <w:r>
        <w:rPr>
          <w:rFonts w:hint="eastAsia"/>
          <w:b/>
          <w:bCs/>
          <w:color w:val="auto"/>
          <w:lang w:val="en-US" w:eastAsia="zh-CN"/>
        </w:rPr>
        <w:br w:type="page"/>
      </w:r>
    </w:p>
    <w:p>
      <w:pPr>
        <w:wordWrap/>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五”时期是北京市落实首都城市战略定位、着力打造国家服务业扩大开放综合示范区和自由贸易试验区的重要阶段，是顺义区全面落实首都城市战略定位、建设首都重点平原新城的关键时期。为进一步提升全区金融业高质量发展，促进金融业更好服务实体经济，提高金融创新发展水平，依据《北京市“十四五”时期金融业发展规划》《顺义区国民经济和社会发展第十四个五年规划和二〇三五年远景目标纲要》的精神和要求，编制本规划。本规划适用时限为2021年至2025年。</w:t>
      </w:r>
    </w:p>
    <w:p>
      <w:pPr>
        <w:widowControl/>
        <w:wordWrap/>
        <w:adjustRightInd w:val="0"/>
        <w:snapToGrid w:val="0"/>
        <w:spacing w:line="560" w:lineRule="exact"/>
        <w:ind w:left="0" w:leftChars="0" w:right="0" w:firstLine="640" w:firstLineChars="200"/>
        <w:jc w:val="both"/>
        <w:textAlignment w:val="auto"/>
        <w:rPr>
          <w:color w:val="auto"/>
          <w:sz w:val="32"/>
          <w:szCs w:val="32"/>
        </w:rPr>
      </w:pPr>
      <w:r>
        <w:rPr>
          <w:rFonts w:hint="eastAsia" w:ascii="仿宋_GB2312" w:hAnsi="仿宋_GB2312" w:cs="仿宋_GB2312"/>
          <w:color w:val="auto"/>
          <w:kern w:val="0"/>
          <w:sz w:val="32"/>
          <w:szCs w:val="32"/>
        </w:rPr>
        <w:t>《顺义区“十四五”时期金融业发展规划》</w:t>
      </w:r>
      <w:r>
        <w:rPr>
          <w:rFonts w:ascii="仿宋_GB2312" w:hAnsi="仿宋_GB2312" w:cs="仿宋_GB2312"/>
          <w:color w:val="auto"/>
          <w:kern w:val="0"/>
          <w:sz w:val="32"/>
          <w:szCs w:val="32"/>
        </w:rPr>
        <w:t>与</w:t>
      </w:r>
      <w:r>
        <w:rPr>
          <w:rFonts w:hint="eastAsia" w:ascii="仿宋_GB2312" w:hAnsi="仿宋_GB2312" w:cs="仿宋_GB2312"/>
          <w:color w:val="auto"/>
          <w:kern w:val="0"/>
          <w:sz w:val="32"/>
          <w:szCs w:val="32"/>
        </w:rPr>
        <w:t>《顺义区国民经济和社会发展第十四个五年规划和二〇三五年远景目标纲要》</w:t>
      </w:r>
      <w:r>
        <w:rPr>
          <w:rFonts w:ascii="仿宋_GB2312" w:hAnsi="仿宋_GB2312" w:cs="仿宋_GB2312"/>
          <w:color w:val="auto"/>
          <w:kern w:val="0"/>
          <w:sz w:val="32"/>
          <w:szCs w:val="32"/>
        </w:rPr>
        <w:t>紧密衔接，明确了</w:t>
      </w:r>
      <w:r>
        <w:rPr>
          <w:rFonts w:hint="eastAsia" w:ascii="仿宋_GB2312" w:hAnsi="仿宋_GB2312" w:cs="仿宋_GB2312"/>
          <w:color w:val="auto"/>
          <w:kern w:val="0"/>
          <w:sz w:val="32"/>
          <w:szCs w:val="32"/>
        </w:rPr>
        <w:t>“十四五”时期顺义区金融业</w:t>
      </w:r>
      <w:r>
        <w:rPr>
          <w:rFonts w:ascii="仿宋_GB2312" w:hAnsi="仿宋_GB2312" w:cs="仿宋_GB2312"/>
          <w:color w:val="auto"/>
          <w:kern w:val="0"/>
          <w:sz w:val="32"/>
          <w:szCs w:val="32"/>
        </w:rPr>
        <w:t>发展目标、</w:t>
      </w:r>
      <w:r>
        <w:rPr>
          <w:rFonts w:hint="eastAsia" w:ascii="仿宋_GB2312" w:hAnsi="仿宋_GB2312" w:cs="仿宋_GB2312"/>
          <w:color w:val="auto"/>
          <w:kern w:val="0"/>
          <w:sz w:val="32"/>
          <w:szCs w:val="32"/>
        </w:rPr>
        <w:t>重点</w:t>
      </w:r>
      <w:r>
        <w:rPr>
          <w:rFonts w:ascii="仿宋_GB2312" w:hAnsi="仿宋_GB2312" w:cs="仿宋_GB2312"/>
          <w:color w:val="auto"/>
          <w:kern w:val="0"/>
          <w:sz w:val="32"/>
          <w:szCs w:val="32"/>
        </w:rPr>
        <w:t>任务和重大举措，是</w:t>
      </w:r>
      <w:r>
        <w:rPr>
          <w:rFonts w:hint="eastAsia" w:ascii="仿宋_GB2312" w:hAnsi="仿宋_GB2312" w:cs="仿宋_GB2312"/>
          <w:color w:val="auto"/>
          <w:kern w:val="0"/>
          <w:sz w:val="32"/>
          <w:szCs w:val="32"/>
        </w:rPr>
        <w:t>金融</w:t>
      </w:r>
      <w:r>
        <w:rPr>
          <w:rFonts w:ascii="仿宋_GB2312" w:hAnsi="仿宋_GB2312" w:cs="仿宋_GB2312"/>
          <w:color w:val="auto"/>
          <w:kern w:val="0"/>
          <w:sz w:val="32"/>
          <w:szCs w:val="32"/>
        </w:rPr>
        <w:t>市场主体的行为</w:t>
      </w:r>
      <w:r>
        <w:rPr>
          <w:rFonts w:hint="eastAsia" w:ascii="仿宋_GB2312" w:hAnsi="仿宋_GB2312" w:cs="仿宋_GB2312"/>
          <w:color w:val="auto"/>
          <w:kern w:val="0"/>
          <w:sz w:val="32"/>
          <w:szCs w:val="32"/>
        </w:rPr>
        <w:t>指南</w:t>
      </w:r>
      <w:r>
        <w:rPr>
          <w:rFonts w:ascii="仿宋_GB2312" w:hAnsi="仿宋_GB2312" w:cs="仿宋_GB2312"/>
          <w:color w:val="auto"/>
          <w:kern w:val="0"/>
          <w:sz w:val="32"/>
          <w:szCs w:val="32"/>
        </w:rPr>
        <w:t>，是政府履职的重要依据，是</w:t>
      </w:r>
      <w:r>
        <w:rPr>
          <w:rFonts w:hint="eastAsia" w:ascii="仿宋_GB2312" w:hAnsi="仿宋_GB2312" w:cs="仿宋_GB2312"/>
          <w:color w:val="auto"/>
          <w:kern w:val="0"/>
          <w:sz w:val="32"/>
          <w:szCs w:val="32"/>
        </w:rPr>
        <w:t>全区金融业发展</w:t>
      </w:r>
      <w:r>
        <w:rPr>
          <w:rFonts w:ascii="仿宋_GB2312" w:hAnsi="仿宋_GB2312" w:cs="仿宋_GB2312"/>
          <w:color w:val="auto"/>
          <w:kern w:val="0"/>
          <w:sz w:val="32"/>
          <w:szCs w:val="32"/>
        </w:rPr>
        <w:t>的行动纲领。</w:t>
      </w:r>
    </w:p>
    <w:p>
      <w:pPr>
        <w:pStyle w:val="3"/>
        <w:wordWrap/>
        <w:adjustRightInd w:val="0"/>
        <w:snapToGrid w:val="0"/>
        <w:spacing w:before="0" w:after="0" w:line="560" w:lineRule="exact"/>
        <w:ind w:left="0" w:leftChars="0" w:right="0" w:firstLine="640" w:firstLineChars="200"/>
        <w:jc w:val="both"/>
        <w:textAlignment w:val="auto"/>
        <w:rPr>
          <w:b w:val="0"/>
          <w:bCs w:val="0"/>
          <w:color w:val="auto"/>
          <w:sz w:val="32"/>
          <w:szCs w:val="32"/>
        </w:rPr>
      </w:pPr>
      <w:bookmarkStart w:id="6" w:name="_Toc911046270_WPSOffice_Level1"/>
      <w:r>
        <w:rPr>
          <w:rFonts w:hint="eastAsia"/>
          <w:b w:val="0"/>
          <w:bCs w:val="0"/>
          <w:color w:val="auto"/>
          <w:sz w:val="32"/>
          <w:szCs w:val="32"/>
        </w:rPr>
        <w:t>一、“十三五”时期顺义区金融业发展回顾</w:t>
      </w:r>
      <w:bookmarkEnd w:id="5"/>
      <w:bookmarkEnd w:id="6"/>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7" w:name="_Toc1287345341_WPSOffice_Level2"/>
      <w:bookmarkStart w:id="8" w:name="_Toc792709127_WPSOffice_Level2"/>
      <w:r>
        <w:rPr>
          <w:rFonts w:hint="eastAsia" w:ascii="楷体_GB2312" w:hAnsi="楷体_GB2312" w:eastAsia="楷体_GB2312" w:cs="楷体_GB2312"/>
          <w:color w:val="auto"/>
          <w:sz w:val="32"/>
          <w:szCs w:val="32"/>
        </w:rPr>
        <w:t>（一）“十三五”时期顺义区金融业发展的成绩</w:t>
      </w:r>
      <w:bookmarkEnd w:id="7"/>
      <w:bookmarkEnd w:id="8"/>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rPr>
        <w:t>金融业</w:t>
      </w:r>
      <w:r>
        <w:rPr>
          <w:rFonts w:hint="eastAsia" w:ascii="仿宋_GB2312" w:hAnsi="仿宋_GB2312" w:cs="仿宋_GB2312"/>
          <w:color w:val="auto"/>
          <w:kern w:val="0"/>
          <w:sz w:val="32"/>
          <w:szCs w:val="32"/>
          <w:lang w:eastAsia="zh-CN"/>
        </w:rPr>
        <w:t>跻身</w:t>
      </w:r>
      <w:r>
        <w:rPr>
          <w:rFonts w:hint="eastAsia" w:ascii="仿宋_GB2312" w:hAnsi="仿宋_GB2312" w:cs="仿宋_GB2312"/>
          <w:color w:val="auto"/>
          <w:kern w:val="0"/>
          <w:sz w:val="32"/>
          <w:szCs w:val="32"/>
        </w:rPr>
        <w:t>顺义区支柱产业。“十三五”规划实施以来，顺义区金融产业繁荣发展，全区金融机构从2015年初的220家发展到2020年末的375家，新增国创投资引导基金、国投创合国家新兴产业创业投资引导基金、国开制造业转型升级基金、北京人寿等优质金融机构155家，超额完成“十三五”规划确定的新增100家、总数突破300家的发展目标。全区上市挂牌企业从2015年初的30家发展到2020年末的</w:t>
      </w:r>
      <w:r>
        <w:rPr>
          <w:rFonts w:hint="eastAsia" w:ascii="仿宋_GB2312" w:hAnsi="仿宋_GB2312" w:cs="仿宋_GB2312"/>
          <w:color w:val="auto"/>
          <w:kern w:val="0"/>
          <w:sz w:val="32"/>
          <w:szCs w:val="32"/>
          <w:lang w:val="en-US" w:eastAsia="zh-CN"/>
        </w:rPr>
        <w:t>113</w:t>
      </w:r>
      <w:r>
        <w:rPr>
          <w:rFonts w:hint="eastAsia" w:ascii="仿宋_GB2312" w:hAnsi="仿宋_GB2312" w:cs="仿宋_GB2312"/>
          <w:color w:val="auto"/>
          <w:kern w:val="0"/>
          <w:sz w:val="32"/>
          <w:szCs w:val="32"/>
        </w:rPr>
        <w:t>家，超额完成上市挂牌企业总数突破100家的发展目标。金融业成为继临空经济、汽车制造之后全区第三大支柱产业，金融业增加值占全区生产总值（</w:t>
      </w:r>
      <w:r>
        <w:rPr>
          <w:rFonts w:ascii="仿宋_GB2312" w:hAnsi="仿宋_GB2312" w:cs="仿宋_GB2312"/>
          <w:color w:val="auto"/>
          <w:kern w:val="0"/>
          <w:sz w:val="32"/>
          <w:szCs w:val="32"/>
        </w:rPr>
        <w:t>GDP</w:t>
      </w:r>
      <w:r>
        <w:rPr>
          <w:rFonts w:hint="eastAsia" w:ascii="仿宋_GB2312" w:hAnsi="仿宋_GB2312" w:cs="仿宋_GB2312"/>
          <w:color w:val="auto"/>
          <w:kern w:val="0"/>
          <w:sz w:val="32"/>
          <w:szCs w:val="32"/>
        </w:rPr>
        <w:t>）</w:t>
      </w:r>
      <w:r>
        <w:rPr>
          <w:rFonts w:ascii="仿宋_GB2312" w:hAnsi="仿宋_GB2312" w:cs="仿宋_GB2312"/>
          <w:color w:val="auto"/>
          <w:kern w:val="0"/>
          <w:sz w:val="32"/>
          <w:szCs w:val="32"/>
        </w:rPr>
        <w:t>比重</w:t>
      </w:r>
      <w:r>
        <w:rPr>
          <w:rFonts w:hint="eastAsia" w:ascii="仿宋_GB2312" w:hAnsi="仿宋_GB2312" w:cs="仿宋_GB2312"/>
          <w:color w:val="auto"/>
          <w:kern w:val="0"/>
          <w:sz w:val="32"/>
          <w:szCs w:val="32"/>
        </w:rPr>
        <w:t>由</w:t>
      </w:r>
      <w:r>
        <w:rPr>
          <w:rFonts w:ascii="仿宋_GB2312" w:hAnsi="仿宋_GB2312" w:cs="仿宋_GB2312"/>
          <w:color w:val="auto"/>
          <w:kern w:val="0"/>
          <w:sz w:val="32"/>
          <w:szCs w:val="32"/>
        </w:rPr>
        <w:t>“十三五”期初的8%增至“十三五”期末的17.8%</w:t>
      </w:r>
      <w:r>
        <w:rPr>
          <w:rFonts w:hint="eastAsia" w:ascii="仿宋_GB2312" w:hAnsi="仿宋_GB2312" w:cs="仿宋_GB2312"/>
          <w:color w:val="auto"/>
          <w:kern w:val="0"/>
          <w:sz w:val="32"/>
          <w:szCs w:val="32"/>
        </w:rPr>
        <w:t>。金融业对全区经济贡献逐年提升，支柱产业地位持续巩固。</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bookmarkStart w:id="9" w:name="_Toc27058"/>
      <w:bookmarkStart w:id="10" w:name="_Toc1287345341_WPSOffice_Level3"/>
      <w:bookmarkStart w:id="11" w:name="_Toc57223905"/>
      <w:r>
        <w:rPr>
          <w:rFonts w:hint="eastAsia" w:ascii="仿宋_GB2312" w:hAnsi="仿宋_GB2312" w:cs="仿宋_GB2312"/>
          <w:color w:val="auto"/>
          <w:kern w:val="0"/>
          <w:sz w:val="32"/>
          <w:szCs w:val="32"/>
        </w:rPr>
        <w:t>三大金融平台建设卓有成效</w:t>
      </w:r>
      <w:bookmarkEnd w:id="9"/>
      <w:bookmarkEnd w:id="10"/>
      <w:bookmarkEnd w:id="11"/>
      <w:r>
        <w:rPr>
          <w:rFonts w:hint="eastAsia" w:ascii="仿宋_GB2312" w:hAnsi="仿宋_GB2312" w:cs="仿宋_GB2312"/>
          <w:color w:val="auto"/>
          <w:kern w:val="0"/>
          <w:sz w:val="32"/>
          <w:szCs w:val="32"/>
        </w:rPr>
        <w:t>。“十三五”时期，顺义区立足区域实际，突出特色定位，优化空间布局，依托20平方公里、1980万平方米物理空间，着力打造“后沙峪金融商务区、马坡金融城、空港融资租赁产业园”三大金融发展平台，为金融机构“特色”集聚发展创造一流承载空间。截至</w:t>
      </w:r>
      <w:r>
        <w:rPr>
          <w:rFonts w:ascii="仿宋_GB2312" w:hAnsi="仿宋_GB2312" w:cs="仿宋_GB2312"/>
          <w:color w:val="auto"/>
          <w:kern w:val="0"/>
          <w:sz w:val="32"/>
          <w:szCs w:val="32"/>
        </w:rPr>
        <w:t>2020年末</w:t>
      </w:r>
      <w:r>
        <w:rPr>
          <w:rFonts w:hint="eastAsia" w:ascii="仿宋_GB2312" w:hAnsi="仿宋_GB2312" w:cs="仿宋_GB2312"/>
          <w:color w:val="auto"/>
          <w:kern w:val="0"/>
          <w:sz w:val="32"/>
          <w:szCs w:val="32"/>
        </w:rPr>
        <w:t>，后沙峪金融商务区已落户</w:t>
      </w:r>
      <w:r>
        <w:rPr>
          <w:rFonts w:hint="eastAsia" w:ascii="仿宋_GB2312" w:hAnsi="仿宋_GB2312" w:cs="仿宋_GB2312"/>
          <w:color w:val="auto"/>
          <w:kern w:val="0"/>
          <w:sz w:val="32"/>
          <w:szCs w:val="32"/>
          <w:lang w:eastAsia="zh-CN"/>
        </w:rPr>
        <w:t>国新新格局基金</w:t>
      </w:r>
      <w:r>
        <w:rPr>
          <w:rFonts w:hint="eastAsia" w:ascii="仿宋_GB2312" w:hAnsi="仿宋_GB2312" w:cs="仿宋_GB2312"/>
          <w:color w:val="auto"/>
          <w:kern w:val="0"/>
          <w:sz w:val="32"/>
          <w:szCs w:val="32"/>
        </w:rPr>
        <w:t>、晨壹基金等70余家金融机构；马坡金融城已落户民生银行总部基地、北京银行科技研发中心等近10家总部及功能性总部机构；空港融资租赁产业园已落户文科租赁、芯鑫租赁等近170家金融机构，金融项目聚集程度显著提升。</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bookmarkStart w:id="12" w:name="_Toc16440"/>
      <w:bookmarkStart w:id="13" w:name="_Toc57223906"/>
      <w:bookmarkStart w:id="14" w:name="_Toc515402662_WPSOffice_Level3"/>
      <w:r>
        <w:rPr>
          <w:rFonts w:hint="eastAsia" w:ascii="仿宋_GB2312" w:hAnsi="仿宋_GB2312" w:cs="仿宋_GB2312"/>
          <w:color w:val="auto"/>
          <w:kern w:val="0"/>
          <w:sz w:val="32"/>
          <w:szCs w:val="32"/>
        </w:rPr>
        <w:t>金融</w:t>
      </w:r>
      <w:bookmarkEnd w:id="12"/>
      <w:bookmarkEnd w:id="13"/>
      <w:bookmarkEnd w:id="14"/>
      <w:r>
        <w:rPr>
          <w:rFonts w:hint="eastAsia" w:ascii="仿宋_GB2312" w:hAnsi="仿宋_GB2312" w:cs="仿宋_GB2312"/>
          <w:color w:val="auto"/>
          <w:kern w:val="0"/>
          <w:sz w:val="32"/>
          <w:szCs w:val="32"/>
          <w:lang w:eastAsia="zh-CN"/>
        </w:rPr>
        <w:t>业态体系渐趋完善</w:t>
      </w:r>
      <w:r>
        <w:rPr>
          <w:rFonts w:hint="eastAsia" w:ascii="仿宋_GB2312" w:hAnsi="仿宋_GB2312" w:cs="仿宋_GB2312"/>
          <w:color w:val="auto"/>
          <w:kern w:val="0"/>
          <w:sz w:val="32"/>
          <w:szCs w:val="32"/>
        </w:rPr>
        <w:t>。“十三五”时期，顺义区金融机构加速聚集，金融业态持续丰富，发展质量不断优化，以产业基金、融资租赁等为代表的产业金融发展成效突出。“十三五”时期，全区成功引进150余个优质金融项目，国开系、</w:t>
      </w:r>
      <w:r>
        <w:rPr>
          <w:rFonts w:hint="eastAsia" w:ascii="仿宋_GB2312" w:hAnsi="仿宋_GB2312" w:cs="仿宋_GB2312"/>
          <w:color w:val="auto"/>
          <w:kern w:val="0"/>
          <w:sz w:val="32"/>
          <w:szCs w:val="32"/>
          <w:lang w:eastAsia="zh-CN"/>
        </w:rPr>
        <w:t>中交系、</w:t>
      </w:r>
      <w:r>
        <w:rPr>
          <w:rFonts w:hint="eastAsia" w:ascii="仿宋_GB2312" w:hAnsi="仿宋_GB2312" w:cs="仿宋_GB2312"/>
          <w:color w:val="auto"/>
          <w:kern w:val="0"/>
          <w:sz w:val="32"/>
          <w:szCs w:val="32"/>
        </w:rPr>
        <w:t>中铝系机构组团式落户；截至</w:t>
      </w:r>
      <w:r>
        <w:rPr>
          <w:rFonts w:ascii="仿宋_GB2312" w:hAnsi="仿宋_GB2312" w:cs="仿宋_GB2312"/>
          <w:color w:val="auto"/>
          <w:kern w:val="0"/>
          <w:sz w:val="32"/>
          <w:szCs w:val="32"/>
        </w:rPr>
        <w:t>2020年末</w:t>
      </w:r>
      <w:r>
        <w:rPr>
          <w:rFonts w:hint="eastAsia" w:ascii="仿宋_GB2312" w:hAnsi="仿宋_GB2312" w:cs="仿宋_GB2312"/>
          <w:color w:val="auto"/>
          <w:kern w:val="0"/>
          <w:sz w:val="32"/>
          <w:szCs w:val="32"/>
        </w:rPr>
        <w:t>，已聚集央企国企背景为代表的产业基金120余支，管理规模约1.8万亿元；已落户融资租赁</w:t>
      </w:r>
      <w:r>
        <w:rPr>
          <w:rFonts w:hint="eastAsia" w:ascii="仿宋_GB2312" w:hAnsi="仿宋_GB2312" w:cs="仿宋_GB2312"/>
          <w:color w:val="auto"/>
          <w:kern w:val="0"/>
          <w:sz w:val="32"/>
          <w:szCs w:val="32"/>
          <w:lang w:eastAsia="zh-CN"/>
        </w:rPr>
        <w:t>企业及</w:t>
      </w:r>
      <w:r>
        <w:rPr>
          <w:rFonts w:hint="eastAsia" w:ascii="仿宋_GB2312" w:hAnsi="仿宋_GB2312" w:cs="仿宋_GB2312"/>
          <w:color w:val="auto"/>
          <w:kern w:val="0"/>
          <w:sz w:val="32"/>
          <w:szCs w:val="32"/>
          <w:lang w:val="en-US" w:eastAsia="zh-CN"/>
        </w:rPr>
        <w:t>SPV公司100</w:t>
      </w:r>
      <w:r>
        <w:rPr>
          <w:rFonts w:hint="eastAsia" w:ascii="仿宋_GB2312" w:hAnsi="仿宋_GB2312" w:cs="仿宋_GB2312"/>
          <w:color w:val="auto"/>
          <w:kern w:val="0"/>
          <w:sz w:val="32"/>
          <w:szCs w:val="32"/>
        </w:rPr>
        <w:t>余家</w:t>
      </w:r>
      <w:r>
        <w:rPr>
          <w:rFonts w:hint="eastAsia" w:ascii="仿宋_GB2312" w:hAnsi="仿宋_GB2312" w:cs="仿宋_GB2312"/>
          <w:color w:val="auto"/>
          <w:kern w:val="0"/>
          <w:sz w:val="32"/>
          <w:szCs w:val="32"/>
        </w:rPr>
        <w:t>，</w:t>
      </w:r>
      <w:r>
        <w:rPr>
          <w:rFonts w:hint="eastAsia" w:ascii="仿宋_GB2312" w:hAnsi="仿宋_GB2312" w:cs="仿宋_GB2312"/>
          <w:color w:val="auto"/>
          <w:kern w:val="0"/>
          <w:sz w:val="32"/>
          <w:szCs w:val="32"/>
          <w:lang w:eastAsia="zh-CN"/>
        </w:rPr>
        <w:t>全区已形成以银行、证券、保险、基金、融资租赁等为主体的业态齐全的金融产业发展格局</w:t>
      </w:r>
      <w:r>
        <w:rPr>
          <w:rFonts w:hint="eastAsia" w:ascii="仿宋_GB2312" w:hAnsi="仿宋_GB2312" w:cs="仿宋_GB2312"/>
          <w:color w:val="auto"/>
          <w:kern w:val="0"/>
          <w:sz w:val="32"/>
          <w:szCs w:val="32"/>
        </w:rPr>
        <w:t>。</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多层次资本市场建设不断壮大</w:t>
      </w:r>
      <w:r>
        <w:rPr>
          <w:rFonts w:hint="eastAsia" w:ascii="仿宋_GB2312" w:hAnsi="仿宋_GB2312" w:cs="仿宋_GB2312"/>
          <w:color w:val="auto"/>
          <w:kern w:val="0"/>
          <w:sz w:val="32"/>
          <w:szCs w:val="32"/>
        </w:rPr>
        <w:t>。2018年11月，北京市地方金融监督管理局与顺义区政府举行揭牌仪式，在顺义区共同打造北京市上市挂牌企业总部基地。“十三五”期间，全区成功推动</w:t>
      </w:r>
      <w:r>
        <w:rPr>
          <w:rFonts w:hint="eastAsia" w:ascii="仿宋_GB2312" w:hAnsi="仿宋_GB2312" w:cs="仿宋_GB2312"/>
          <w:color w:val="auto"/>
          <w:kern w:val="0"/>
          <w:sz w:val="32"/>
          <w:szCs w:val="32"/>
          <w:lang w:eastAsia="zh-CN"/>
        </w:rPr>
        <w:t>恒宇信通</w:t>
      </w:r>
      <w:r>
        <w:rPr>
          <w:rFonts w:hint="eastAsia" w:ascii="仿宋_GB2312" w:hAnsi="仿宋_GB2312" w:cs="仿宋_GB2312"/>
          <w:color w:val="auto"/>
          <w:kern w:val="0"/>
          <w:sz w:val="32"/>
          <w:szCs w:val="32"/>
        </w:rPr>
        <w:t>、中科星图等</w:t>
      </w:r>
      <w:r>
        <w:rPr>
          <w:rFonts w:hint="eastAsia" w:ascii="仿宋_GB2312" w:hAnsi="仿宋_GB2312" w:cs="仿宋_GB2312"/>
          <w:color w:val="auto"/>
          <w:kern w:val="0"/>
          <w:sz w:val="32"/>
          <w:szCs w:val="32"/>
          <w:lang w:val="en-US" w:eastAsia="zh-CN"/>
        </w:rPr>
        <w:t>80</w:t>
      </w:r>
      <w:r>
        <w:rPr>
          <w:rFonts w:hint="eastAsia" w:ascii="仿宋_GB2312" w:hAnsi="仿宋_GB2312" w:cs="仿宋_GB2312"/>
          <w:color w:val="auto"/>
          <w:kern w:val="0"/>
          <w:sz w:val="32"/>
          <w:szCs w:val="32"/>
        </w:rPr>
        <w:t>余家</w:t>
      </w:r>
      <w:r>
        <w:rPr>
          <w:rFonts w:hint="eastAsia" w:ascii="仿宋_GB2312" w:hAnsi="仿宋_GB2312" w:cs="仿宋_GB2312"/>
          <w:color w:val="auto"/>
          <w:kern w:val="0"/>
          <w:sz w:val="32"/>
          <w:szCs w:val="32"/>
        </w:rPr>
        <w:t>企业上市挂牌，全区上市公司累计实现直接融资1</w:t>
      </w:r>
      <w:r>
        <w:rPr>
          <w:rFonts w:ascii="仿宋_GB2312" w:hAnsi="仿宋_GB2312" w:cs="仿宋_GB2312"/>
          <w:color w:val="auto"/>
          <w:kern w:val="0"/>
          <w:sz w:val="32"/>
          <w:szCs w:val="32"/>
        </w:rPr>
        <w:t>890</w:t>
      </w:r>
      <w:r>
        <w:rPr>
          <w:rFonts w:hint="eastAsia" w:ascii="仿宋_GB2312" w:hAnsi="仿宋_GB2312" w:cs="仿宋_GB2312"/>
          <w:color w:val="auto"/>
          <w:kern w:val="0"/>
          <w:sz w:val="32"/>
          <w:szCs w:val="32"/>
        </w:rPr>
        <w:t>亿元，资本市场对实体经济的支持带动作用持续增强</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上市储备资源企业突破100家，主板、创业板、科创板、新三板等板块齐头并进，上市公司培育梯队布局合理。</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rPr>
        <w:t>金融</w:t>
      </w:r>
      <w:r>
        <w:rPr>
          <w:rFonts w:hint="eastAsia" w:ascii="仿宋_GB2312" w:hAnsi="仿宋_GB2312" w:cs="仿宋_GB2312"/>
          <w:color w:val="auto"/>
          <w:kern w:val="0"/>
          <w:sz w:val="32"/>
          <w:szCs w:val="32"/>
          <w:lang w:eastAsia="zh-CN"/>
        </w:rPr>
        <w:t>支持实体经济效果日益显现</w:t>
      </w:r>
      <w:r>
        <w:rPr>
          <w:rFonts w:hint="eastAsia" w:ascii="仿宋_GB2312" w:hAnsi="仿宋_GB2312" w:cs="仿宋_GB2312"/>
          <w:color w:val="auto"/>
          <w:kern w:val="0"/>
          <w:sz w:val="32"/>
          <w:szCs w:val="32"/>
        </w:rPr>
        <w:t>。2016年12月，工信部、财政部、中国人民银行、中国银监会批准顺义区成为国家产融合作试点城市，助力区域产业与金融的融合发展。“十三五”时期，顺义区全面梳理产业项目融资需求，统筹协调各类优质金融资源，</w:t>
      </w:r>
      <w:r>
        <w:rPr>
          <w:rFonts w:hint="eastAsia" w:ascii="仿宋_GB2312" w:hAnsi="仿宋_GB2312" w:cs="仿宋_GB2312"/>
          <w:color w:val="auto"/>
          <w:kern w:val="0"/>
          <w:sz w:val="32"/>
          <w:szCs w:val="32"/>
          <w:lang w:eastAsia="zh-CN"/>
        </w:rPr>
        <w:t>坚持普遍对接与精准对接相结合。</w:t>
      </w:r>
      <w:r>
        <w:rPr>
          <w:rFonts w:hint="eastAsia" w:ascii="仿宋_GB2312" w:hAnsi="仿宋_GB2312" w:cs="仿宋_GB2312"/>
          <w:color w:val="auto"/>
          <w:kern w:val="0"/>
          <w:sz w:val="32"/>
          <w:szCs w:val="32"/>
        </w:rPr>
        <w:t>出台促进中小微企业持续健康发展的金融支持办法，在全市率先推出中小微企业金融服务专区，率先上线首个线上融资微信小程序，协调3</w:t>
      </w:r>
      <w:r>
        <w:rPr>
          <w:rFonts w:ascii="仿宋_GB2312" w:hAnsi="仿宋_GB2312" w:cs="仿宋_GB2312"/>
          <w:color w:val="auto"/>
          <w:kern w:val="0"/>
          <w:sz w:val="32"/>
          <w:szCs w:val="32"/>
        </w:rPr>
        <w:t>2</w:t>
      </w:r>
      <w:r>
        <w:rPr>
          <w:rFonts w:hint="eastAsia" w:ascii="仿宋_GB2312" w:hAnsi="仿宋_GB2312" w:cs="仿宋_GB2312"/>
          <w:color w:val="auto"/>
          <w:kern w:val="0"/>
          <w:sz w:val="32"/>
          <w:szCs w:val="32"/>
        </w:rPr>
        <w:t>家金融机构上线7</w:t>
      </w:r>
      <w:r>
        <w:rPr>
          <w:rFonts w:ascii="仿宋_GB2312" w:hAnsi="仿宋_GB2312" w:cs="仿宋_GB2312"/>
          <w:color w:val="auto"/>
          <w:kern w:val="0"/>
          <w:sz w:val="32"/>
          <w:szCs w:val="32"/>
        </w:rPr>
        <w:t>4</w:t>
      </w:r>
      <w:r>
        <w:rPr>
          <w:rFonts w:hint="eastAsia" w:ascii="仿宋_GB2312" w:hAnsi="仿宋_GB2312" w:cs="仿宋_GB2312"/>
          <w:color w:val="auto"/>
          <w:kern w:val="0"/>
          <w:sz w:val="32"/>
          <w:szCs w:val="32"/>
        </w:rPr>
        <w:t>款产品，开展线上线下“顺易投融”活动1</w:t>
      </w:r>
      <w:r>
        <w:rPr>
          <w:rFonts w:ascii="仿宋_GB2312" w:hAnsi="仿宋_GB2312" w:cs="仿宋_GB2312"/>
          <w:color w:val="auto"/>
          <w:kern w:val="0"/>
          <w:sz w:val="32"/>
          <w:szCs w:val="32"/>
        </w:rPr>
        <w:t>2</w:t>
      </w:r>
      <w:r>
        <w:rPr>
          <w:rFonts w:hint="eastAsia" w:ascii="仿宋_GB2312" w:hAnsi="仿宋_GB2312" w:cs="仿宋_GB2312"/>
          <w:color w:val="auto"/>
          <w:kern w:val="0"/>
          <w:sz w:val="32"/>
          <w:szCs w:val="32"/>
        </w:rPr>
        <w:t>场，累计为2</w:t>
      </w:r>
      <w:r>
        <w:rPr>
          <w:rFonts w:ascii="仿宋_GB2312" w:hAnsi="仿宋_GB2312" w:cs="仿宋_GB2312"/>
          <w:color w:val="auto"/>
          <w:kern w:val="0"/>
          <w:sz w:val="32"/>
          <w:szCs w:val="32"/>
        </w:rPr>
        <w:t>050</w:t>
      </w:r>
      <w:r>
        <w:rPr>
          <w:rFonts w:hint="eastAsia" w:ascii="仿宋_GB2312" w:hAnsi="仿宋_GB2312" w:cs="仿宋_GB2312"/>
          <w:color w:val="auto"/>
          <w:kern w:val="0"/>
          <w:sz w:val="32"/>
          <w:szCs w:val="32"/>
        </w:rPr>
        <w:t>家企业引入1</w:t>
      </w:r>
      <w:r>
        <w:rPr>
          <w:rFonts w:ascii="仿宋_GB2312" w:hAnsi="仿宋_GB2312" w:cs="仿宋_GB2312"/>
          <w:color w:val="auto"/>
          <w:kern w:val="0"/>
          <w:sz w:val="32"/>
          <w:szCs w:val="32"/>
        </w:rPr>
        <w:t>10</w:t>
      </w:r>
      <w:r>
        <w:rPr>
          <w:rFonts w:hint="eastAsia" w:ascii="仿宋_GB2312" w:hAnsi="仿宋_GB2312" w:cs="仿宋_GB2312"/>
          <w:color w:val="auto"/>
          <w:kern w:val="0"/>
          <w:sz w:val="32"/>
          <w:szCs w:val="32"/>
        </w:rPr>
        <w:t>亿元金融活水，金融服务实体经济能力显著提升。</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bookmarkStart w:id="15" w:name="_Toc17144"/>
      <w:bookmarkStart w:id="16" w:name="_Toc57223909"/>
      <w:bookmarkStart w:id="17" w:name="_Toc1032269208_WPSOffice_Level3"/>
      <w:r>
        <w:rPr>
          <w:rFonts w:hint="eastAsia" w:ascii="仿宋_GB2312" w:hAnsi="仿宋_GB2312" w:cs="仿宋_GB2312"/>
          <w:color w:val="auto"/>
          <w:kern w:val="0"/>
          <w:sz w:val="32"/>
          <w:szCs w:val="32"/>
        </w:rPr>
        <w:t>金融政策</w:t>
      </w:r>
      <w:bookmarkEnd w:id="15"/>
      <w:bookmarkEnd w:id="16"/>
      <w:bookmarkEnd w:id="17"/>
      <w:r>
        <w:rPr>
          <w:rFonts w:hint="eastAsia" w:ascii="仿宋_GB2312" w:hAnsi="仿宋_GB2312" w:cs="仿宋_GB2312"/>
          <w:color w:val="auto"/>
          <w:kern w:val="0"/>
          <w:sz w:val="32"/>
          <w:szCs w:val="32"/>
          <w:lang w:eastAsia="zh-CN"/>
        </w:rPr>
        <w:t>支持</w:t>
      </w:r>
      <w:r>
        <w:rPr>
          <w:rFonts w:hint="eastAsia" w:ascii="仿宋_GB2312" w:hAnsi="仿宋_GB2312" w:cs="仿宋_GB2312"/>
          <w:color w:val="auto"/>
          <w:kern w:val="0"/>
          <w:sz w:val="32"/>
          <w:szCs w:val="32"/>
        </w:rPr>
        <w:t>体系不断健全。“十三五”时期，顺义区紧跟发展实际，突出顺义特色，增强比较优势，先后出台“一揽子”金融产业发展扶持政策，形成了多点支撑的政策体系。2019年4月，修订出台《顺义区打造首都产业金融中心促进金融产业发展办法》、《顺义区支持企业上市挂牌发展办法》，提高政策奖励额度，新增支持基金引进实体项目等特色奖励内容，增强政策比较优势。2019年11月，率先分别出台全市首个针对融资（金融）租赁和外资金融机构的专项政策，对标全国最高标准，凸显政策磁石效应。</w:t>
      </w:r>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18" w:name="_Toc515402662_WPSOffice_Level2"/>
      <w:bookmarkStart w:id="19" w:name="_Toc777464904_WPSOffice_Level2"/>
      <w:r>
        <w:rPr>
          <w:rFonts w:hint="eastAsia" w:ascii="楷体_GB2312" w:hAnsi="楷体_GB2312" w:eastAsia="楷体_GB2312" w:cs="楷体_GB2312"/>
          <w:color w:val="auto"/>
          <w:sz w:val="32"/>
          <w:szCs w:val="32"/>
        </w:rPr>
        <w:t>（二）“十三五”时期顺义区金融业发展的不足</w:t>
      </w:r>
      <w:bookmarkEnd w:id="18"/>
      <w:bookmarkEnd w:id="19"/>
    </w:p>
    <w:p>
      <w:pPr>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ascii="仿宋_GB2312" w:hAnsi="仿宋_GB2312" w:cs="仿宋_GB2312"/>
          <w:color w:val="auto"/>
          <w:kern w:val="0"/>
          <w:sz w:val="32"/>
          <w:szCs w:val="32"/>
        </w:rPr>
        <w:t>“十三五”时期，</w:t>
      </w:r>
      <w:r>
        <w:rPr>
          <w:rFonts w:hint="eastAsia" w:ascii="仿宋_GB2312" w:hAnsi="仿宋_GB2312" w:cs="仿宋_GB2312"/>
          <w:color w:val="auto"/>
          <w:kern w:val="0"/>
          <w:sz w:val="32"/>
          <w:szCs w:val="32"/>
        </w:rPr>
        <w:t>在</w:t>
      </w:r>
      <w:r>
        <w:rPr>
          <w:rFonts w:ascii="仿宋_GB2312" w:hAnsi="仿宋_GB2312" w:cs="仿宋_GB2312"/>
          <w:color w:val="auto"/>
          <w:kern w:val="0"/>
          <w:sz w:val="32"/>
          <w:szCs w:val="32"/>
        </w:rPr>
        <w:t>顺义区</w:t>
      </w:r>
      <w:r>
        <w:rPr>
          <w:rFonts w:hint="eastAsia" w:ascii="仿宋_GB2312" w:hAnsi="仿宋_GB2312" w:cs="仿宋_GB2312"/>
          <w:color w:val="auto"/>
          <w:kern w:val="0"/>
          <w:sz w:val="32"/>
          <w:szCs w:val="32"/>
        </w:rPr>
        <w:t>经济社会平稳发展过程中，金融产业成为强劲引擎，较为有效地支持实体经济发展，但是，</w:t>
      </w:r>
      <w:r>
        <w:rPr>
          <w:rFonts w:ascii="仿宋_GB2312" w:hAnsi="仿宋_GB2312" w:cs="仿宋_GB2312"/>
          <w:color w:val="auto"/>
          <w:kern w:val="0"/>
          <w:sz w:val="32"/>
          <w:szCs w:val="32"/>
        </w:rPr>
        <w:t>也存在一些不足。</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一是</w:t>
      </w:r>
      <w:r>
        <w:rPr>
          <w:rFonts w:hint="eastAsia" w:ascii="仿宋_GB2312" w:hAnsi="仿宋_GB2312" w:cs="仿宋_GB2312"/>
          <w:color w:val="auto"/>
          <w:kern w:val="0"/>
          <w:sz w:val="32"/>
          <w:szCs w:val="32"/>
        </w:rPr>
        <w:t>金融业总体质量仍有较大提升空间。全区大型优质持牌金融机构数量较少，民生银行信用卡中心、华夏基金</w:t>
      </w:r>
      <w:r>
        <w:rPr>
          <w:rFonts w:hint="eastAsia" w:ascii="仿宋_GB2312" w:hAnsi="仿宋_GB2312" w:cs="仿宋_GB2312"/>
          <w:color w:val="auto"/>
          <w:kern w:val="0"/>
          <w:sz w:val="32"/>
          <w:szCs w:val="32"/>
          <w:lang w:eastAsia="zh-CN"/>
        </w:rPr>
        <w:t>等头部</w:t>
      </w:r>
      <w:r>
        <w:rPr>
          <w:rFonts w:hint="eastAsia" w:ascii="仿宋_GB2312" w:hAnsi="仿宋_GB2312" w:cs="仿宋_GB2312"/>
          <w:color w:val="auto"/>
          <w:kern w:val="0"/>
          <w:sz w:val="32"/>
          <w:szCs w:val="32"/>
        </w:rPr>
        <w:t>机构经济贡献占全区金融业比重超六成，对重点金融机构依赖度偏高，金融业抗击结构性风险能力的韧性尚待提升。</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二是</w:t>
      </w:r>
      <w:r>
        <w:rPr>
          <w:rFonts w:hint="eastAsia" w:ascii="仿宋_GB2312" w:hAnsi="仿宋_GB2312" w:cs="仿宋_GB2312"/>
          <w:color w:val="auto"/>
          <w:kern w:val="0"/>
          <w:sz w:val="32"/>
          <w:szCs w:val="32"/>
        </w:rPr>
        <w:t>注册型金融机构偏多。我区城市综合功能、承载能力等相较于中心城区还存在一定差距，实地入驻办公的金融机构数量总体较少，注册型机构偏多，金融机构聚集效应尚不明显，尚未形成具有对外展示功能的区域金融品牌。</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三是</w:t>
      </w:r>
      <w:r>
        <w:rPr>
          <w:rFonts w:hint="eastAsia" w:ascii="仿宋_GB2312" w:hAnsi="仿宋_GB2312" w:cs="仿宋_GB2312"/>
          <w:color w:val="auto"/>
          <w:kern w:val="0"/>
          <w:sz w:val="32"/>
          <w:szCs w:val="32"/>
        </w:rPr>
        <w:t>产业与金融的融合有待深化。以产业发展带动金融发展的意识不强，对产业项目衍生出的金融项目关注不够、落地不多。以金融发展促产业发展的举措有待加强，与新能源智能汽车、第三代半导体、航空航天三大高精尖主导产业契合的大型产业基金集聚仍不足，产业基金</w:t>
      </w:r>
      <w:r>
        <w:rPr>
          <w:rFonts w:hint="eastAsia" w:ascii="仿宋_GB2312" w:hAnsi="仿宋_GB2312" w:cs="仿宋_GB2312"/>
          <w:color w:val="auto"/>
          <w:kern w:val="0"/>
          <w:sz w:val="32"/>
          <w:szCs w:val="32"/>
          <w:lang w:eastAsia="zh-CN"/>
        </w:rPr>
        <w:t>对项目的引领带动作用仍有很大空间。</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四是</w:t>
      </w:r>
      <w:r>
        <w:rPr>
          <w:rFonts w:hint="eastAsia" w:ascii="仿宋_GB2312" w:hAnsi="仿宋_GB2312" w:cs="仿宋_GB2312"/>
          <w:color w:val="auto"/>
          <w:kern w:val="0"/>
          <w:sz w:val="32"/>
          <w:szCs w:val="32"/>
        </w:rPr>
        <w:t>金融配套供给不足。金融产业聚集所需商务、生活</w:t>
      </w:r>
      <w:r>
        <w:rPr>
          <w:rFonts w:hint="eastAsia" w:ascii="仿宋_GB2312" w:hAnsi="仿宋_GB2312" w:cs="仿宋_GB2312"/>
          <w:color w:val="auto"/>
          <w:kern w:val="0"/>
          <w:sz w:val="32"/>
          <w:szCs w:val="32"/>
          <w:lang w:eastAsia="zh-CN"/>
        </w:rPr>
        <w:t>、消费</w:t>
      </w:r>
      <w:r>
        <w:rPr>
          <w:rFonts w:hint="eastAsia" w:ascii="仿宋_GB2312" w:hAnsi="仿宋_GB2312" w:cs="仿宋_GB2312"/>
          <w:color w:val="auto"/>
          <w:kern w:val="0"/>
          <w:sz w:val="32"/>
          <w:szCs w:val="32"/>
        </w:rPr>
        <w:t>等要素有待进一步完善，交通便捷程度有待进一步提升。规模大、功能全的商住公寓、餐饮娱乐、文化旅游等配套措施尚存缺口。</w:t>
      </w:r>
    </w:p>
    <w:p>
      <w:pPr>
        <w:pStyle w:val="3"/>
        <w:wordWrap/>
        <w:adjustRightInd w:val="0"/>
        <w:snapToGrid w:val="0"/>
        <w:spacing w:before="0" w:after="0" w:line="560" w:lineRule="exact"/>
        <w:ind w:left="0" w:leftChars="0" w:right="0" w:firstLine="640" w:firstLineChars="200"/>
        <w:jc w:val="both"/>
        <w:textAlignment w:val="auto"/>
        <w:rPr>
          <w:rFonts w:ascii="黑体" w:hAnsi="黑体" w:cs="黑体"/>
          <w:b w:val="0"/>
          <w:bCs w:val="0"/>
          <w:color w:val="auto"/>
          <w:sz w:val="32"/>
          <w:szCs w:val="32"/>
        </w:rPr>
      </w:pPr>
      <w:bookmarkStart w:id="20" w:name="_Toc1287345341_WPSOffice_Level1"/>
      <w:bookmarkStart w:id="21" w:name="_Toc792709127_WPSOffice_Level1"/>
      <w:r>
        <w:rPr>
          <w:rFonts w:hint="eastAsia" w:ascii="黑体" w:hAnsi="黑体" w:cs="黑体"/>
          <w:b w:val="0"/>
          <w:bCs w:val="0"/>
          <w:color w:val="auto"/>
          <w:sz w:val="32"/>
          <w:szCs w:val="32"/>
        </w:rPr>
        <w:t>二、“十四五”时期顺义区金融业发展的</w:t>
      </w:r>
      <w:bookmarkEnd w:id="20"/>
      <w:r>
        <w:rPr>
          <w:rFonts w:hint="eastAsia" w:ascii="黑体" w:hAnsi="黑体" w:cs="黑体"/>
          <w:b w:val="0"/>
          <w:bCs w:val="0"/>
          <w:color w:val="auto"/>
          <w:sz w:val="32"/>
          <w:szCs w:val="32"/>
        </w:rPr>
        <w:t>形势</w:t>
      </w:r>
      <w:bookmarkEnd w:id="21"/>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22" w:name="_Toc1570991883_WPSOffice_Level2"/>
      <w:bookmarkStart w:id="23" w:name="_Toc100908213_WPSOffice_Level2"/>
      <w:r>
        <w:rPr>
          <w:rFonts w:hint="eastAsia" w:ascii="楷体_GB2312" w:hAnsi="楷体_GB2312" w:eastAsia="楷体_GB2312" w:cs="楷体_GB2312"/>
          <w:color w:val="auto"/>
          <w:sz w:val="32"/>
          <w:szCs w:val="32"/>
        </w:rPr>
        <w:t>（一）“十四五”时期顺义区金融业发展的机遇</w:t>
      </w:r>
      <w:bookmarkEnd w:id="22"/>
      <w:bookmarkEnd w:id="23"/>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一是新版规划赋予顺义重要定位。按照新版北京城市总体规划，顺义区是北京市“一核一主一副、两轴多点一区”城市空间结构中的“多点”之首，也是中心城区适宜功能、产业和人口转移的重要承接地。新的功能定位将为顺义经济社会发展注入新的活力，金融作为重点发展产业之一，也将紧抓有利契机，借助政策和服务优势主动承接优质外溢金融机构，实现增量发展。</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二是产业发展进入</w:t>
      </w:r>
      <w:r>
        <w:rPr>
          <w:rFonts w:hint="eastAsia" w:ascii="仿宋_GB2312" w:hAnsi="仿宋_GB2312" w:cs="仿宋_GB2312"/>
          <w:color w:val="auto"/>
          <w:kern w:val="0"/>
          <w:sz w:val="32"/>
          <w:szCs w:val="32"/>
          <w:lang w:eastAsia="zh-CN"/>
        </w:rPr>
        <w:t>高质量发展</w:t>
      </w:r>
      <w:r>
        <w:rPr>
          <w:rFonts w:hint="eastAsia" w:ascii="仿宋_GB2312" w:hAnsi="仿宋_GB2312" w:cs="仿宋_GB2312"/>
          <w:color w:val="auto"/>
          <w:kern w:val="0"/>
          <w:sz w:val="32"/>
          <w:szCs w:val="32"/>
        </w:rPr>
        <w:t>期。截至2020年底，顺义区经济总量居全市第五，人均GDP居全市第三，实体经济基本面扎实、产业基础雄厚。目前，顺义区紧紧围绕“3+4+1”主导产业体系，正在加快推进产业转型升级，努力实现全区高质量发展。繁荣的实体产业必将带来旺盛的金融需求，金融业实现跨越式发展也将成为必然趋势。</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三是金融对外开放步伐加快。2020年9月，中国（北京）自由贸易试验区正式获批，顺义区作为自贸区中面积最大的组团，正在按照“3+7+N”思路加快推进“两区”建设。跨境金融作为“两区”重点布局的七大产业之一，充分借助中德产业园、临空经济示范区等平台和政策优势，在北京市引进优质外资金融项目过程中，顺义区逐步崭露头角，成功引进安联资管、贝宝支付两个“全国首家”，未来将继续发挥比较优势，加速推进区域金融高水平对外开放。</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rPr>
        <w:t>四是资本市场改革逐步深化。乘着科创板、创业板试点注册制等改革的东风，优质科技企业、创新创业企业的融资渠道更为多元，发行上市条件更为包容，资本市场服务企业的能力显著增强。同时，深化新三板改革，设立北京证券交易所，将为创新型中小企业登陆资本市场注入新动能，助力更多“专精特新”企业发展壮大。顺义区依托充沛的物理承载空间，凭借优渥的政策吸引，将助力更多优质企业利用资本市场做大做强。</w:t>
      </w:r>
      <w:bookmarkStart w:id="24" w:name="_Toc349137716_WPSOffice_Level2"/>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25" w:name="_Toc1834998956_WPSOffice_Level2"/>
      <w:r>
        <w:rPr>
          <w:rFonts w:hint="eastAsia" w:ascii="楷体_GB2312" w:hAnsi="楷体_GB2312" w:eastAsia="楷体_GB2312" w:cs="楷体_GB2312"/>
          <w:color w:val="auto"/>
          <w:sz w:val="32"/>
          <w:szCs w:val="32"/>
        </w:rPr>
        <w:t>（二）“十四五”时期顺义区金融业发展的挑战</w:t>
      </w:r>
      <w:bookmarkEnd w:id="24"/>
      <w:bookmarkEnd w:id="25"/>
      <w:bookmarkStart w:id="26" w:name="_Toc515402662_WPSOffice_Level1"/>
    </w:p>
    <w:p>
      <w:pPr>
        <w:widowControl/>
        <w:wordWrap/>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一是因日渐成为未来的朝阳行业促使区域竞争愈发激烈。在产业结构深入调整的大背景下，金融业对经济发展的支撑作用日益凸显，各地区较以往更加重视金融业发展。</w:t>
      </w:r>
      <w:r>
        <w:rPr>
          <w:rFonts w:hint="eastAsia" w:ascii="仿宋_GB2312" w:hAnsi="仿宋_GB2312" w:cs="仿宋_GB2312"/>
          <w:b w:val="0"/>
          <w:bCs w:val="0"/>
          <w:color w:val="auto"/>
          <w:kern w:val="0"/>
          <w:sz w:val="32"/>
          <w:szCs w:val="32"/>
          <w:lang w:eastAsia="zh-CN"/>
        </w:rPr>
        <w:t>就北京而言，</w:t>
      </w:r>
      <w:r>
        <w:rPr>
          <w:rFonts w:hint="eastAsia" w:ascii="仿宋_GB2312" w:hAnsi="仿宋_GB2312" w:eastAsia="仿宋_GB2312" w:cs="仿宋_GB2312"/>
          <w:b w:val="0"/>
          <w:bCs w:val="0"/>
          <w:color w:val="auto"/>
          <w:kern w:val="0"/>
          <w:sz w:val="32"/>
          <w:szCs w:val="32"/>
        </w:rPr>
        <w:t>西城、朝阳、东城、海淀等地区借助先发优势，强化持牌机构吸引聚集力度；通州借助副中心建设契机及资源倾斜优势，大力发展绿色金融和财富管理中心；丰台依托丽泽金融商务区，与西城金融街资源互通、协同发展；石景山保险产业园、房山基金小镇等地区，定位鲜明、加速发展</w:t>
      </w:r>
      <w:r>
        <w:rPr>
          <w:rFonts w:hint="eastAsia" w:ascii="仿宋_GB2312" w:hAnsi="仿宋_GB2312" w:cs="仿宋_GB2312"/>
          <w:b w:val="0"/>
          <w:bCs w:val="0"/>
          <w:color w:val="auto"/>
          <w:kern w:val="0"/>
          <w:sz w:val="32"/>
          <w:szCs w:val="32"/>
          <w:lang w:eastAsia="zh-CN"/>
        </w:rPr>
        <w:t>；大兴依托新建成的国际机场，大力发展临空经济和金融业。</w:t>
      </w:r>
      <w:r>
        <w:rPr>
          <w:rFonts w:hint="eastAsia" w:ascii="仿宋_GB2312" w:hAnsi="仿宋_GB2312" w:eastAsia="仿宋_GB2312" w:cs="仿宋_GB2312"/>
          <w:b w:val="0"/>
          <w:bCs w:val="0"/>
          <w:color w:val="auto"/>
          <w:kern w:val="0"/>
          <w:sz w:val="32"/>
          <w:szCs w:val="32"/>
        </w:rPr>
        <w:t>面临市场资源与政策资源的双重竞争，顺义区金融产业发展不进则退。</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是后疫情时代对金融产业的发展带来了新的考验。突如其来的新冠肺炎疫情使全球经济遭受了巨大的冲击，既导致消费需求的低迷和消费观念、方式的改变，也导致产业链供应不足等问题产生。虽然疫情防控形势逐渐稳定、经济呈现向好态势，</w:t>
      </w:r>
      <w:r>
        <w:rPr>
          <w:rFonts w:hint="eastAsia" w:ascii="仿宋_GB2312" w:hAnsi="仿宋_GB2312" w:cs="仿宋_GB2312"/>
          <w:b w:val="0"/>
          <w:bCs w:val="0"/>
          <w:color w:val="auto"/>
          <w:kern w:val="0"/>
          <w:sz w:val="32"/>
          <w:szCs w:val="32"/>
          <w:lang w:eastAsia="zh-CN"/>
        </w:rPr>
        <w:t>但</w:t>
      </w:r>
      <w:r>
        <w:rPr>
          <w:rFonts w:hint="eastAsia" w:ascii="仿宋_GB2312" w:hAnsi="仿宋_GB2312" w:eastAsia="仿宋_GB2312" w:cs="仿宋_GB2312"/>
          <w:b w:val="0"/>
          <w:bCs w:val="0"/>
          <w:color w:val="auto"/>
          <w:kern w:val="0"/>
          <w:sz w:val="32"/>
          <w:szCs w:val="32"/>
        </w:rPr>
        <w:t>一定时期</w:t>
      </w:r>
      <w:r>
        <w:rPr>
          <w:rFonts w:hint="eastAsia" w:ascii="仿宋_GB2312" w:hAnsi="仿宋_GB2312" w:cs="仿宋_GB2312"/>
          <w:b w:val="0"/>
          <w:bCs w:val="0"/>
          <w:color w:val="auto"/>
          <w:kern w:val="0"/>
          <w:sz w:val="32"/>
          <w:szCs w:val="32"/>
          <w:lang w:eastAsia="zh-CN"/>
        </w:rPr>
        <w:t>内，</w:t>
      </w:r>
      <w:r>
        <w:rPr>
          <w:rFonts w:hint="eastAsia" w:ascii="仿宋_GB2312" w:hAnsi="仿宋_GB2312" w:eastAsia="仿宋_GB2312" w:cs="仿宋_GB2312"/>
          <w:b w:val="0"/>
          <w:bCs w:val="0"/>
          <w:color w:val="auto"/>
          <w:kern w:val="0"/>
          <w:sz w:val="32"/>
          <w:szCs w:val="32"/>
        </w:rPr>
        <w:t>金融需求不足</w:t>
      </w:r>
      <w:r>
        <w:rPr>
          <w:rFonts w:hint="eastAsia" w:ascii="仿宋_GB2312" w:hAnsi="仿宋_GB2312" w:cs="仿宋_GB2312"/>
          <w:b w:val="0"/>
          <w:bCs w:val="0"/>
          <w:color w:val="auto"/>
          <w:kern w:val="0"/>
          <w:sz w:val="32"/>
          <w:szCs w:val="32"/>
          <w:lang w:eastAsia="zh-CN"/>
        </w:rPr>
        <w:t>仍将在一定程度上存在</w:t>
      </w:r>
      <w:r>
        <w:rPr>
          <w:rFonts w:hint="eastAsia" w:ascii="仿宋_GB2312" w:hAnsi="仿宋_GB2312" w:eastAsia="仿宋_GB2312" w:cs="仿宋_GB2312"/>
          <w:b w:val="0"/>
          <w:bCs w:val="0"/>
          <w:color w:val="auto"/>
          <w:kern w:val="0"/>
          <w:sz w:val="32"/>
          <w:szCs w:val="32"/>
        </w:rPr>
        <w:t>，并将对各类金融宏观政策以及微观金融企业发展带来新的考验。如顺义区</w:t>
      </w:r>
      <w:r>
        <w:rPr>
          <w:rFonts w:hint="eastAsia" w:ascii="仿宋_GB2312" w:hAnsi="仿宋_GB2312" w:cs="仿宋_GB2312"/>
          <w:b w:val="0"/>
          <w:bCs w:val="0"/>
          <w:color w:val="auto"/>
          <w:kern w:val="0"/>
          <w:sz w:val="32"/>
          <w:szCs w:val="32"/>
          <w:lang w:eastAsia="zh-CN"/>
        </w:rPr>
        <w:t>某</w:t>
      </w:r>
      <w:r>
        <w:rPr>
          <w:rFonts w:hint="eastAsia" w:ascii="仿宋_GB2312" w:hAnsi="仿宋_GB2312" w:eastAsia="仿宋_GB2312" w:cs="仿宋_GB2312"/>
          <w:b w:val="0"/>
          <w:bCs w:val="0"/>
          <w:color w:val="auto"/>
          <w:kern w:val="0"/>
          <w:sz w:val="32"/>
          <w:szCs w:val="32"/>
        </w:rPr>
        <w:t>龙头企业，受疫情影响明显营业收入明显下滑，一定程度上影响了全区金融产业的营收增速和经济贡献；又如融资租赁等直接服务实体经济的金融业态受疫情影响</w:t>
      </w:r>
      <w:r>
        <w:rPr>
          <w:rFonts w:hint="eastAsia" w:ascii="仿宋_GB2312" w:hAnsi="仿宋_GB2312" w:cs="仿宋_GB2312"/>
          <w:b w:val="0"/>
          <w:bCs w:val="0"/>
          <w:color w:val="auto"/>
          <w:kern w:val="0"/>
          <w:sz w:val="32"/>
          <w:szCs w:val="32"/>
          <w:lang w:eastAsia="zh-CN"/>
        </w:rPr>
        <w:t>出现减收现象明显</w:t>
      </w:r>
      <w:r>
        <w:rPr>
          <w:rFonts w:hint="eastAsia" w:ascii="仿宋_GB2312" w:hAnsi="仿宋_GB2312" w:eastAsia="仿宋_GB2312" w:cs="仿宋_GB2312"/>
          <w:b w:val="0"/>
          <w:bCs w:val="0"/>
          <w:color w:val="auto"/>
          <w:kern w:val="0"/>
          <w:sz w:val="32"/>
          <w:szCs w:val="32"/>
        </w:rPr>
        <w:t>。如何进一步夯实产业基础，增加顺义区金融产业的厚度、弹性和韧性，确保金融产业在后疫情时代持续健康发展，是必须破解的难题。</w:t>
      </w:r>
    </w:p>
    <w:p>
      <w:pPr>
        <w:widowControl/>
        <w:wordWrap/>
        <w:adjustRightInd w:val="0"/>
        <w:snapToGrid w:val="0"/>
        <w:spacing w:line="560" w:lineRule="exact"/>
        <w:ind w:left="0" w:leftChars="0" w:right="0" w:firstLine="640" w:firstLineChars="200"/>
        <w:jc w:val="both"/>
        <w:textAlignment w:val="auto"/>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是政策竞争白热化后综合承载力和营商环境或将成为核心竞争力。为抢夺重点金融项目，各地区纷纷加码出炉相关优惠政策，尤其是部分地区政策制定起步早、力度大、含金量高，客观上造成区域间政策竞争白热化现象</w:t>
      </w:r>
      <w:r>
        <w:rPr>
          <w:rFonts w:hint="eastAsia" w:ascii="仿宋_GB2312" w:hAnsi="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过去几年，顺义区凭借优厚的政策成功吸引了众多优质金融机构入区发展。然而，政策红利最大程度释放后，最终比拼的是营商环境软实力以及区域综合承载力。从实际情况来看，虽然顺义区营商环境在全市排名靠前、综合承载力位列首都重点平原新城首位，但与中心城区相比，无论在交通便利度，还是商业消费配套、医疗、教育等方面都有一定差距，金融产业保持健康快速发展依然面临着较大的竞争压力。</w:t>
      </w:r>
    </w:p>
    <w:p>
      <w:pPr>
        <w:pStyle w:val="3"/>
        <w:wordWrap/>
        <w:adjustRightInd w:val="0"/>
        <w:snapToGrid w:val="0"/>
        <w:spacing w:before="0" w:after="0" w:line="560" w:lineRule="exact"/>
        <w:ind w:left="0" w:leftChars="0" w:right="0" w:firstLine="640" w:firstLineChars="200"/>
        <w:jc w:val="both"/>
        <w:textAlignment w:val="auto"/>
        <w:rPr>
          <w:rFonts w:ascii="仿宋_GB2312" w:hAnsi="仿宋_GB2312" w:eastAsia="仿宋_GB2312" w:cs="仿宋_GB2312"/>
          <w:b w:val="0"/>
          <w:bCs w:val="0"/>
          <w:color w:val="auto"/>
          <w:kern w:val="0"/>
          <w:sz w:val="32"/>
          <w:szCs w:val="32"/>
        </w:rPr>
      </w:pPr>
      <w:bookmarkStart w:id="27" w:name="_Toc777464904_WPSOffice_Level1"/>
      <w:r>
        <w:rPr>
          <w:rFonts w:hint="eastAsia" w:ascii="黑体" w:hAnsi="黑体" w:cs="黑体"/>
          <w:b w:val="0"/>
          <w:bCs w:val="0"/>
          <w:color w:val="auto"/>
          <w:sz w:val="32"/>
          <w:szCs w:val="32"/>
        </w:rPr>
        <w:t>三、</w:t>
      </w:r>
      <w:bookmarkEnd w:id="26"/>
      <w:r>
        <w:rPr>
          <w:rFonts w:hint="eastAsia"/>
          <w:b w:val="0"/>
          <w:bCs w:val="0"/>
          <w:color w:val="auto"/>
          <w:sz w:val="32"/>
          <w:szCs w:val="32"/>
        </w:rPr>
        <w:t>“十四五”时期顺义区金融业发展的指导思想、基本原则和发展目标</w:t>
      </w:r>
      <w:bookmarkEnd w:id="27"/>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28" w:name="_Toc1032269208_WPSOffice_Level2"/>
      <w:bookmarkStart w:id="29" w:name="_Toc1514239539_WPSOffice_Level2"/>
      <w:r>
        <w:rPr>
          <w:rFonts w:hint="eastAsia" w:ascii="楷体_GB2312" w:hAnsi="楷体_GB2312" w:eastAsia="楷体_GB2312" w:cs="楷体_GB2312"/>
          <w:color w:val="auto"/>
          <w:sz w:val="32"/>
          <w:szCs w:val="32"/>
        </w:rPr>
        <w:t>（一）指导思想</w:t>
      </w:r>
      <w:bookmarkEnd w:id="28"/>
      <w:bookmarkEnd w:id="29"/>
    </w:p>
    <w:p>
      <w:pPr>
        <w:wordWrap/>
        <w:adjustRightInd w:val="0"/>
        <w:snapToGrid w:val="0"/>
        <w:spacing w:line="560" w:lineRule="exact"/>
        <w:ind w:left="0" w:leftChars="0" w:right="0" w:firstLine="640" w:firstLineChars="200"/>
        <w:jc w:val="both"/>
        <w:textAlignment w:val="auto"/>
        <w:rPr>
          <w:rFonts w:ascii="仿宋" w:hAnsi="仿宋" w:eastAsia="仿宋"/>
          <w:color w:val="auto"/>
          <w:sz w:val="32"/>
          <w:szCs w:val="32"/>
        </w:rPr>
      </w:pPr>
      <w:r>
        <w:rPr>
          <w:rFonts w:hint="eastAsia" w:ascii="仿宋_GB2312" w:hAnsi="仿宋_GB2312" w:cs="仿宋_GB2312"/>
          <w:color w:val="auto"/>
          <w:kern w:val="0"/>
          <w:sz w:val="32"/>
          <w:szCs w:val="32"/>
        </w:rPr>
        <w:t>“十四五”时期，顺义区金融产业发展</w:t>
      </w:r>
      <w:r>
        <w:rPr>
          <w:rFonts w:hint="eastAsia" w:ascii="仿宋_GB2312" w:hAnsi="仿宋_GB2312" w:cs="仿宋_GB2312"/>
          <w:color w:val="auto"/>
          <w:kern w:val="0"/>
          <w:sz w:val="32"/>
          <w:szCs w:val="32"/>
          <w:lang w:eastAsia="zh-CN"/>
        </w:rPr>
        <w:t>要坚持</w:t>
      </w:r>
      <w:r>
        <w:rPr>
          <w:rFonts w:hint="eastAsia" w:ascii="仿宋_GB2312" w:hAnsi="仿宋_GB2312" w:cs="仿宋_GB2312"/>
          <w:color w:val="auto"/>
          <w:kern w:val="0"/>
          <w:sz w:val="32"/>
          <w:szCs w:val="32"/>
        </w:rPr>
        <w:t>以习近平</w:t>
      </w:r>
      <w:r>
        <w:rPr>
          <w:rFonts w:ascii="仿宋_GB2312" w:hAnsi="仿宋_GB2312" w:cs="仿宋_GB2312"/>
          <w:color w:val="auto"/>
          <w:kern w:val="0"/>
          <w:sz w:val="32"/>
          <w:szCs w:val="32"/>
        </w:rPr>
        <w:t>新时代中国特色社会主义思想为指导，</w:t>
      </w:r>
      <w:r>
        <w:rPr>
          <w:rFonts w:hint="eastAsia" w:ascii="仿宋_GB2312" w:hAnsi="仿宋_GB2312" w:cs="仿宋_GB2312"/>
          <w:color w:val="auto"/>
          <w:kern w:val="0"/>
          <w:sz w:val="32"/>
          <w:szCs w:val="32"/>
        </w:rPr>
        <w:t>立足新发展阶段，构建新发展格局，践行新发展理念，</w:t>
      </w:r>
      <w:r>
        <w:rPr>
          <w:rFonts w:ascii="仿宋_GB2312" w:hAnsi="仿宋_GB2312" w:cs="仿宋_GB2312"/>
          <w:color w:val="auto"/>
          <w:kern w:val="0"/>
          <w:sz w:val="32"/>
          <w:szCs w:val="32"/>
        </w:rPr>
        <w:t>立足首都金融发展布局</w:t>
      </w:r>
      <w:r>
        <w:rPr>
          <w:rFonts w:hint="eastAsia" w:ascii="仿宋_GB2312" w:hAnsi="仿宋_GB2312" w:cs="仿宋_GB2312"/>
          <w:color w:val="auto"/>
          <w:kern w:val="0"/>
          <w:sz w:val="32"/>
          <w:szCs w:val="32"/>
        </w:rPr>
        <w:t>和</w:t>
      </w:r>
      <w:r>
        <w:rPr>
          <w:rFonts w:ascii="仿宋_GB2312" w:hAnsi="仿宋_GB2312" w:cs="仿宋_GB2312"/>
          <w:color w:val="auto"/>
          <w:kern w:val="0"/>
          <w:sz w:val="32"/>
          <w:szCs w:val="32"/>
        </w:rPr>
        <w:t>顺义经济发展要求</w:t>
      </w:r>
      <w:r>
        <w:rPr>
          <w:rFonts w:hint="eastAsia" w:ascii="仿宋_GB2312" w:hAnsi="仿宋_GB2312" w:cs="仿宋_GB2312"/>
          <w:color w:val="auto"/>
          <w:kern w:val="0"/>
          <w:sz w:val="32"/>
          <w:szCs w:val="32"/>
        </w:rPr>
        <w:t>，</w:t>
      </w:r>
      <w:r>
        <w:rPr>
          <w:rFonts w:ascii="仿宋_GB2312" w:hAnsi="仿宋_GB2312" w:cs="仿宋_GB2312"/>
          <w:color w:val="auto"/>
          <w:kern w:val="0"/>
          <w:sz w:val="32"/>
          <w:szCs w:val="32"/>
        </w:rPr>
        <w:t>以服务实体</w:t>
      </w:r>
      <w:r>
        <w:rPr>
          <w:rFonts w:hint="eastAsia" w:ascii="仿宋_GB2312" w:hAnsi="仿宋_GB2312" w:cs="仿宋_GB2312"/>
          <w:color w:val="auto"/>
          <w:kern w:val="0"/>
          <w:sz w:val="32"/>
          <w:szCs w:val="32"/>
        </w:rPr>
        <w:t>、</w:t>
      </w:r>
      <w:r>
        <w:rPr>
          <w:rFonts w:ascii="仿宋_GB2312" w:hAnsi="仿宋_GB2312" w:cs="仿宋_GB2312"/>
          <w:color w:val="auto"/>
          <w:kern w:val="0"/>
          <w:sz w:val="32"/>
          <w:szCs w:val="32"/>
        </w:rPr>
        <w:t>特色发展</w:t>
      </w:r>
      <w:r>
        <w:rPr>
          <w:rFonts w:hint="eastAsia" w:ascii="仿宋_GB2312" w:hAnsi="仿宋_GB2312" w:cs="仿宋_GB2312"/>
          <w:color w:val="auto"/>
          <w:kern w:val="0"/>
          <w:sz w:val="32"/>
          <w:szCs w:val="32"/>
        </w:rPr>
        <w:t>、创新发展</w:t>
      </w:r>
      <w:r>
        <w:rPr>
          <w:rFonts w:ascii="仿宋_GB2312" w:hAnsi="仿宋_GB2312" w:cs="仿宋_GB2312"/>
          <w:color w:val="auto"/>
          <w:kern w:val="0"/>
          <w:sz w:val="32"/>
          <w:szCs w:val="32"/>
        </w:rPr>
        <w:t>和国际视野为原则</w:t>
      </w:r>
      <w:r>
        <w:rPr>
          <w:rFonts w:hint="eastAsia" w:ascii="仿宋_GB2312" w:hAnsi="仿宋_GB2312" w:cs="仿宋_GB2312"/>
          <w:color w:val="auto"/>
          <w:kern w:val="0"/>
          <w:sz w:val="32"/>
          <w:szCs w:val="32"/>
        </w:rPr>
        <w:t>，毫不动摇优化区域金融发展环境，坚定不移着力金融产业提质增效，始终聚焦产业金融发展，不断强化</w:t>
      </w:r>
      <w:r>
        <w:rPr>
          <w:rFonts w:hint="eastAsia" w:ascii="仿宋_GB2312" w:hAnsi="仿宋_GB2312" w:cs="仿宋_GB2312"/>
          <w:color w:val="auto"/>
          <w:kern w:val="0"/>
          <w:sz w:val="32"/>
          <w:szCs w:val="32"/>
          <w:lang w:eastAsia="zh-CN"/>
        </w:rPr>
        <w:t>金融机构</w:t>
      </w:r>
      <w:r>
        <w:rPr>
          <w:rFonts w:hint="eastAsia" w:ascii="仿宋_GB2312" w:hAnsi="仿宋_GB2312" w:cs="仿宋_GB2312"/>
          <w:color w:val="auto"/>
          <w:kern w:val="0"/>
          <w:sz w:val="32"/>
          <w:szCs w:val="32"/>
        </w:rPr>
        <w:t>集聚，有效防范</w:t>
      </w:r>
      <w:r>
        <w:rPr>
          <w:rFonts w:hint="eastAsia" w:ascii="仿宋_GB2312" w:hAnsi="仿宋_GB2312" w:cs="仿宋_GB2312"/>
          <w:color w:val="auto"/>
          <w:kern w:val="0"/>
          <w:sz w:val="32"/>
          <w:szCs w:val="32"/>
          <w:lang w:eastAsia="zh-CN"/>
        </w:rPr>
        <w:t>化解</w:t>
      </w:r>
      <w:r>
        <w:rPr>
          <w:rFonts w:hint="eastAsia" w:ascii="仿宋_GB2312" w:hAnsi="仿宋_GB2312" w:cs="仿宋_GB2312"/>
          <w:color w:val="auto"/>
          <w:kern w:val="0"/>
          <w:sz w:val="32"/>
          <w:szCs w:val="32"/>
        </w:rPr>
        <w:t>区域金融风险，持续提升金融</w:t>
      </w:r>
      <w:r>
        <w:rPr>
          <w:rFonts w:hint="eastAsia" w:ascii="仿宋_GB2312" w:hAnsi="仿宋_GB2312" w:cs="仿宋_GB2312"/>
          <w:color w:val="auto"/>
          <w:kern w:val="0"/>
          <w:sz w:val="32"/>
          <w:szCs w:val="32"/>
          <w:lang w:eastAsia="zh-CN"/>
        </w:rPr>
        <w:t>产业质效</w:t>
      </w:r>
      <w:r>
        <w:rPr>
          <w:rFonts w:ascii="仿宋_GB2312" w:hAnsi="仿宋_GB2312" w:cs="仿宋_GB2312"/>
          <w:color w:val="auto"/>
          <w:kern w:val="0"/>
          <w:sz w:val="32"/>
          <w:szCs w:val="32"/>
        </w:rPr>
        <w:t>，全面开启</w:t>
      </w:r>
      <w:r>
        <w:rPr>
          <w:rFonts w:hint="eastAsia" w:ascii="仿宋_GB2312" w:hAnsi="仿宋_GB2312" w:cs="仿宋_GB2312"/>
          <w:color w:val="auto"/>
          <w:kern w:val="0"/>
          <w:sz w:val="32"/>
          <w:szCs w:val="32"/>
        </w:rPr>
        <w:t>建设</w:t>
      </w:r>
      <w:r>
        <w:rPr>
          <w:rFonts w:ascii="仿宋_GB2312" w:hAnsi="仿宋_GB2312" w:cs="仿宋_GB2312"/>
          <w:color w:val="auto"/>
          <w:kern w:val="0"/>
          <w:sz w:val="32"/>
          <w:szCs w:val="32"/>
        </w:rPr>
        <w:t>顺义</w:t>
      </w:r>
      <w:r>
        <w:rPr>
          <w:rFonts w:hint="eastAsia" w:ascii="仿宋_GB2312" w:hAnsi="仿宋_GB2312" w:cs="仿宋_GB2312"/>
          <w:color w:val="auto"/>
          <w:kern w:val="0"/>
          <w:sz w:val="32"/>
          <w:szCs w:val="32"/>
        </w:rPr>
        <w:t>区</w:t>
      </w:r>
      <w:r>
        <w:rPr>
          <w:rFonts w:ascii="仿宋_GB2312" w:hAnsi="仿宋_GB2312" w:cs="仿宋_GB2312"/>
          <w:color w:val="auto"/>
          <w:kern w:val="0"/>
          <w:sz w:val="32"/>
          <w:szCs w:val="32"/>
        </w:rPr>
        <w:t>金融</w:t>
      </w:r>
      <w:r>
        <w:rPr>
          <w:rFonts w:hint="eastAsia" w:ascii="仿宋_GB2312" w:hAnsi="仿宋_GB2312" w:cs="仿宋_GB2312"/>
          <w:color w:val="auto"/>
          <w:kern w:val="0"/>
          <w:sz w:val="32"/>
          <w:szCs w:val="32"/>
        </w:rPr>
        <w:t>产</w:t>
      </w:r>
      <w:r>
        <w:rPr>
          <w:rFonts w:ascii="仿宋_GB2312" w:hAnsi="仿宋_GB2312" w:cs="仿宋_GB2312"/>
          <w:color w:val="auto"/>
          <w:kern w:val="0"/>
          <w:sz w:val="32"/>
          <w:szCs w:val="32"/>
        </w:rPr>
        <w:t>业</w:t>
      </w:r>
      <w:r>
        <w:rPr>
          <w:rFonts w:hint="eastAsia" w:ascii="仿宋_GB2312" w:hAnsi="仿宋_GB2312" w:cs="仿宋_GB2312"/>
          <w:color w:val="auto"/>
          <w:kern w:val="0"/>
          <w:sz w:val="32"/>
          <w:szCs w:val="32"/>
        </w:rPr>
        <w:t>高质量</w:t>
      </w:r>
      <w:r>
        <w:rPr>
          <w:rFonts w:ascii="仿宋_GB2312" w:hAnsi="仿宋_GB2312" w:cs="仿宋_GB2312"/>
          <w:color w:val="auto"/>
          <w:kern w:val="0"/>
          <w:sz w:val="32"/>
          <w:szCs w:val="32"/>
        </w:rPr>
        <w:t>发展新征程。</w:t>
      </w:r>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30" w:name="_Toc1975678390_WPSOffice_Level2"/>
      <w:bookmarkStart w:id="31" w:name="_Toc229426063_WPSOffice_Level2"/>
      <w:r>
        <w:rPr>
          <w:rFonts w:hint="eastAsia" w:ascii="楷体_GB2312" w:hAnsi="楷体_GB2312" w:eastAsia="楷体_GB2312" w:cs="楷体_GB2312"/>
          <w:color w:val="auto"/>
          <w:sz w:val="32"/>
          <w:szCs w:val="32"/>
        </w:rPr>
        <w:t>（二）基本原则</w:t>
      </w:r>
      <w:bookmarkEnd w:id="30"/>
      <w:bookmarkEnd w:id="31"/>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bookmarkStart w:id="32" w:name="_Toc41044400"/>
      <w:bookmarkStart w:id="33" w:name="_Toc1836575801_WPSOffice_Level3"/>
      <w:r>
        <w:rPr>
          <w:rFonts w:hint="eastAsia" w:ascii="仿宋_GB2312" w:hAnsi="仿宋_GB2312" w:cs="仿宋_GB2312"/>
          <w:color w:val="auto"/>
          <w:kern w:val="0"/>
          <w:sz w:val="32"/>
          <w:szCs w:val="32"/>
        </w:rPr>
        <w:t>服务实体</w:t>
      </w:r>
      <w:bookmarkEnd w:id="32"/>
      <w:bookmarkEnd w:id="33"/>
      <w:r>
        <w:rPr>
          <w:rFonts w:hint="eastAsia" w:ascii="仿宋_GB2312" w:hAnsi="仿宋_GB2312" w:cs="仿宋_GB2312"/>
          <w:color w:val="auto"/>
          <w:kern w:val="0"/>
          <w:sz w:val="32"/>
          <w:szCs w:val="32"/>
        </w:rPr>
        <w:t>。“十四五”时期，顺义区金融产业发展将坚持以服务实体经济高质量发展为初衷，坚决贯彻党中央国务院对金融功能、金融发展和金融稳定的战略部署，着力提升金融产业发展质效，强化顺义区金融部门服务实体经济功能，形成实体经济、产业体系和金融部门相互促进</w:t>
      </w:r>
      <w:r>
        <w:rPr>
          <w:rFonts w:ascii="仿宋_GB2312" w:hAnsi="仿宋_GB2312" w:cs="仿宋_GB2312"/>
          <w:color w:val="auto"/>
          <w:kern w:val="0"/>
          <w:sz w:val="32"/>
          <w:szCs w:val="32"/>
        </w:rPr>
        <w:t>的良好</w:t>
      </w:r>
      <w:r>
        <w:rPr>
          <w:rFonts w:hint="eastAsia" w:ascii="仿宋_GB2312" w:hAnsi="仿宋_GB2312" w:cs="仿宋_GB2312"/>
          <w:color w:val="auto"/>
          <w:kern w:val="0"/>
          <w:sz w:val="32"/>
          <w:szCs w:val="32"/>
        </w:rPr>
        <w:t>局面。</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bookmarkStart w:id="34" w:name="_Toc1547029076_WPSOffice_Level3"/>
      <w:r>
        <w:rPr>
          <w:rFonts w:ascii="仿宋_GB2312" w:hAnsi="仿宋_GB2312" w:cs="仿宋_GB2312"/>
          <w:color w:val="auto"/>
          <w:kern w:val="0"/>
          <w:sz w:val="32"/>
          <w:szCs w:val="32"/>
        </w:rPr>
        <w:t>特色发展</w:t>
      </w:r>
      <w:bookmarkEnd w:id="34"/>
      <w:r>
        <w:rPr>
          <w:rFonts w:hint="eastAsia" w:ascii="仿宋_GB2312" w:hAnsi="仿宋_GB2312" w:cs="仿宋_GB2312"/>
          <w:color w:val="auto"/>
          <w:kern w:val="0"/>
          <w:sz w:val="32"/>
          <w:szCs w:val="32"/>
        </w:rPr>
        <w:t>。“十四五”时期，顺义金融产业</w:t>
      </w:r>
      <w:r>
        <w:rPr>
          <w:rFonts w:hint="eastAsia" w:ascii="仿宋_GB2312" w:hAnsi="仿宋_GB2312" w:cs="仿宋_GB2312"/>
          <w:color w:val="auto"/>
          <w:kern w:val="0"/>
          <w:sz w:val="32"/>
          <w:szCs w:val="32"/>
          <w:lang w:eastAsia="zh-CN"/>
        </w:rPr>
        <w:t>将</w:t>
      </w:r>
      <w:r>
        <w:rPr>
          <w:rFonts w:hint="eastAsia" w:ascii="仿宋_GB2312" w:hAnsi="仿宋_GB2312" w:cs="仿宋_GB2312"/>
          <w:color w:val="auto"/>
          <w:kern w:val="0"/>
          <w:sz w:val="32"/>
          <w:szCs w:val="32"/>
        </w:rPr>
        <w:t>始终坚定不移走特色发展道路</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结合自身经济结构、产业布局和金融发展实际，找准功能定位和特色亮点，</w:t>
      </w:r>
      <w:r>
        <w:rPr>
          <w:rFonts w:ascii="仿宋_GB2312" w:hAnsi="仿宋_GB2312" w:cs="仿宋_GB2312"/>
          <w:color w:val="auto"/>
          <w:kern w:val="0"/>
          <w:sz w:val="32"/>
          <w:szCs w:val="32"/>
        </w:rPr>
        <w:t>充分利用</w:t>
      </w:r>
      <w:r>
        <w:rPr>
          <w:rFonts w:hint="eastAsia" w:ascii="仿宋_GB2312" w:hAnsi="仿宋_GB2312" w:cs="仿宋_GB2312"/>
          <w:color w:val="auto"/>
          <w:kern w:val="0"/>
          <w:sz w:val="32"/>
          <w:szCs w:val="32"/>
        </w:rPr>
        <w:t>试点平台先行先试的政策优势</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有效承接首都非核心功能外溢资源，重点发展产业金融、新兴金融和跨境金融，形成需求驱动、供给有力、特色鲜明、功能完善的发展格局。</w:t>
      </w:r>
    </w:p>
    <w:p>
      <w:pPr>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highlight w:val="none"/>
        </w:rPr>
      </w:pPr>
      <w:bookmarkStart w:id="35" w:name="_Toc39953164"/>
      <w:bookmarkStart w:id="36" w:name="_Toc1825803970_WPSOffice_Level3"/>
      <w:r>
        <w:rPr>
          <w:rFonts w:hint="eastAsia" w:ascii="仿宋_GB2312" w:hAnsi="仿宋_GB2312" w:cs="仿宋_GB2312"/>
          <w:color w:val="auto"/>
          <w:kern w:val="0"/>
          <w:sz w:val="32"/>
          <w:szCs w:val="32"/>
          <w:highlight w:val="none"/>
        </w:rPr>
        <w:t>创新发展。按照顺义区“3+4+1”高精尖主导产业发展部署，加快推动金融产业创新发展。强化产业基金、融资租赁、商业保理及供业链金融等功能体系建设，主动开辟金融科技、数字金融、财富管理、资产管理等新兴金融业态，打造升级版北京新兴金融要素集聚区。</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rPr>
        <w:t>国际</w:t>
      </w:r>
      <w:bookmarkEnd w:id="35"/>
      <w:r>
        <w:rPr>
          <w:rFonts w:ascii="仿宋_GB2312" w:hAnsi="仿宋_GB2312" w:cs="仿宋_GB2312"/>
          <w:color w:val="auto"/>
          <w:kern w:val="0"/>
          <w:sz w:val="32"/>
          <w:szCs w:val="32"/>
        </w:rPr>
        <w:t>视野</w:t>
      </w:r>
      <w:bookmarkEnd w:id="36"/>
      <w:r>
        <w:rPr>
          <w:rFonts w:hint="eastAsia" w:ascii="仿宋_GB2312" w:hAnsi="仿宋_GB2312" w:cs="仿宋_GB2312"/>
          <w:color w:val="auto"/>
          <w:kern w:val="0"/>
          <w:sz w:val="32"/>
          <w:szCs w:val="32"/>
        </w:rPr>
        <w:t>。“十四五”时期，顺义金融产业将坚持走国际化发展道路</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紧抓国家加快推进金融市场双向开放的历史机遇，充分发挥顺义“第一国门”优势，立足“两区”发展战略，深入探索负面清单管理模式和自由贸易协定规则，在服务贸易开放、外资金融机构引入、跨境金融开拓、金融业“走出去”等领域重点布局，打造适宜国际金融机构发展的高质量营商环境，打造北京服务贸易和金融开放新高地。</w:t>
      </w:r>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37" w:name="_Toc1079865955_WPSOffice_Level2"/>
      <w:bookmarkStart w:id="38" w:name="_Toc865790835_WPSOffice_Level2"/>
      <w:r>
        <w:rPr>
          <w:rFonts w:hint="eastAsia" w:ascii="楷体_GB2312" w:hAnsi="楷体_GB2312" w:eastAsia="楷体_GB2312" w:cs="楷体_GB2312"/>
          <w:color w:val="auto"/>
          <w:sz w:val="32"/>
          <w:szCs w:val="32"/>
        </w:rPr>
        <w:t>（三）发展目标</w:t>
      </w:r>
      <w:bookmarkEnd w:id="37"/>
      <w:bookmarkEnd w:id="38"/>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highlight w:val="none"/>
        </w:rPr>
      </w:pPr>
      <w:r>
        <w:rPr>
          <w:rFonts w:hint="eastAsia" w:ascii="仿宋_GB2312" w:hAnsi="仿宋_GB2312" w:cs="仿宋_GB2312"/>
          <w:color w:val="auto"/>
          <w:kern w:val="0"/>
          <w:sz w:val="32"/>
          <w:szCs w:val="32"/>
          <w:highlight w:val="none"/>
        </w:rPr>
        <w:t>“十四五”时期，顺义区金融产业发展总体目标为，</w:t>
      </w:r>
      <w:r>
        <w:rPr>
          <w:rFonts w:ascii="仿宋_GB2312" w:hAnsi="仿宋_GB2312" w:cs="仿宋_GB2312"/>
          <w:color w:val="auto"/>
          <w:kern w:val="0"/>
          <w:sz w:val="32"/>
          <w:szCs w:val="32"/>
          <w:highlight w:val="none"/>
        </w:rPr>
        <w:t>金融业作为</w:t>
      </w:r>
      <w:r>
        <w:rPr>
          <w:rFonts w:hint="eastAsia" w:ascii="仿宋_GB2312" w:hAnsi="仿宋_GB2312" w:cs="仿宋_GB2312"/>
          <w:color w:val="auto"/>
          <w:kern w:val="0"/>
          <w:sz w:val="32"/>
          <w:szCs w:val="32"/>
          <w:highlight w:val="none"/>
        </w:rPr>
        <w:t>全</w:t>
      </w:r>
      <w:r>
        <w:rPr>
          <w:rFonts w:ascii="仿宋_GB2312" w:hAnsi="仿宋_GB2312" w:cs="仿宋_GB2312"/>
          <w:color w:val="auto"/>
          <w:kern w:val="0"/>
          <w:sz w:val="32"/>
          <w:szCs w:val="32"/>
          <w:highlight w:val="none"/>
        </w:rPr>
        <w:t>区</w:t>
      </w:r>
      <w:r>
        <w:rPr>
          <w:rFonts w:hint="eastAsia" w:ascii="仿宋_GB2312" w:hAnsi="仿宋_GB2312" w:cs="仿宋_GB2312"/>
          <w:color w:val="auto"/>
          <w:kern w:val="0"/>
          <w:sz w:val="32"/>
          <w:szCs w:val="32"/>
          <w:highlight w:val="none"/>
        </w:rPr>
        <w:t>第三支柱产业地位更加稳固，金融产业发展质量显著提升，金融服务实体经济能力明显增强，金融对外开放水平显著提高，首都产业金融中心形象切实彰显，北京市上市挂牌企业总部基地活力迸发，加速形成特色鲜明、品质高端、高度聚集、具有国际影响力的首都金融开放发展新高地。到2025年末，顺义区金融机构新增达到</w:t>
      </w:r>
      <w:r>
        <w:rPr>
          <w:rFonts w:hint="eastAsia" w:ascii="仿宋_GB2312" w:hAnsi="仿宋_GB2312" w:cs="仿宋_GB2312"/>
          <w:color w:val="auto"/>
          <w:kern w:val="0"/>
          <w:sz w:val="32"/>
          <w:szCs w:val="32"/>
          <w:highlight w:val="none"/>
          <w:lang w:val="en-US" w:eastAsia="zh-CN"/>
        </w:rPr>
        <w:t>120</w:t>
      </w:r>
      <w:r>
        <w:rPr>
          <w:rFonts w:hint="eastAsia" w:ascii="仿宋_GB2312" w:hAnsi="仿宋_GB2312" w:cs="仿宋_GB2312"/>
          <w:color w:val="auto"/>
          <w:kern w:val="0"/>
          <w:sz w:val="32"/>
          <w:szCs w:val="32"/>
          <w:highlight w:val="none"/>
        </w:rPr>
        <w:t>家，上市挂牌企业新增达到</w:t>
      </w:r>
      <w:r>
        <w:rPr>
          <w:rFonts w:hint="eastAsia" w:ascii="仿宋_GB2312" w:hAnsi="仿宋_GB2312" w:cs="仿宋_GB2312"/>
          <w:color w:val="auto"/>
          <w:kern w:val="0"/>
          <w:sz w:val="32"/>
          <w:szCs w:val="32"/>
          <w:highlight w:val="none"/>
          <w:lang w:val="en-US" w:eastAsia="zh-CN"/>
        </w:rPr>
        <w:t>50</w:t>
      </w:r>
      <w:r>
        <w:rPr>
          <w:rFonts w:hint="eastAsia" w:ascii="仿宋_GB2312" w:hAnsi="仿宋_GB2312" w:cs="仿宋_GB2312"/>
          <w:color w:val="auto"/>
          <w:kern w:val="0"/>
          <w:sz w:val="32"/>
          <w:szCs w:val="32"/>
          <w:highlight w:val="none"/>
        </w:rPr>
        <w:t>家，金融业增加值占全区生产总值比重</w:t>
      </w:r>
      <w:r>
        <w:rPr>
          <w:rFonts w:ascii="仿宋_GB2312" w:hAnsi="仿宋_GB2312" w:cs="仿宋_GB2312"/>
          <w:color w:val="auto"/>
          <w:kern w:val="0"/>
          <w:sz w:val="32"/>
          <w:szCs w:val="32"/>
          <w:highlight w:val="none"/>
        </w:rPr>
        <w:t>约</w:t>
      </w:r>
      <w:r>
        <w:rPr>
          <w:rFonts w:hint="eastAsia" w:ascii="仿宋_GB2312" w:hAnsi="仿宋_GB2312" w:cs="仿宋_GB2312"/>
          <w:color w:val="auto"/>
          <w:kern w:val="0"/>
          <w:sz w:val="32"/>
          <w:szCs w:val="32"/>
          <w:highlight w:val="none"/>
          <w:lang w:val="en-US" w:eastAsia="zh-CN"/>
        </w:rPr>
        <w:t>16</w:t>
      </w:r>
      <w:r>
        <w:rPr>
          <w:rFonts w:hint="eastAsia" w:ascii="仿宋_GB2312" w:hAnsi="仿宋_GB2312" w:cs="仿宋_GB2312"/>
          <w:color w:val="auto"/>
          <w:kern w:val="0"/>
          <w:sz w:val="32"/>
          <w:szCs w:val="32"/>
          <w:highlight w:val="none"/>
        </w:rPr>
        <w:t>%。</w:t>
      </w:r>
    </w:p>
    <w:p>
      <w:pPr>
        <w:pStyle w:val="3"/>
        <w:wordWrap/>
        <w:adjustRightInd w:val="0"/>
        <w:snapToGrid w:val="0"/>
        <w:spacing w:before="0" w:after="0" w:line="560" w:lineRule="exact"/>
        <w:ind w:left="0" w:leftChars="0" w:right="0" w:firstLine="640" w:firstLineChars="200"/>
        <w:jc w:val="both"/>
        <w:textAlignment w:val="auto"/>
        <w:rPr>
          <w:b w:val="0"/>
          <w:bCs w:val="0"/>
          <w:color w:val="auto"/>
          <w:sz w:val="32"/>
          <w:szCs w:val="32"/>
        </w:rPr>
      </w:pPr>
      <w:bookmarkStart w:id="39" w:name="_Toc1570991883_WPSOffice_Level1"/>
      <w:bookmarkStart w:id="40" w:name="_Toc100908213_WPSOffice_Level1"/>
      <w:r>
        <w:rPr>
          <w:rFonts w:hint="eastAsia"/>
          <w:b w:val="0"/>
          <w:bCs w:val="0"/>
          <w:color w:val="auto"/>
          <w:sz w:val="32"/>
          <w:szCs w:val="32"/>
        </w:rPr>
        <w:t>四、</w:t>
      </w:r>
      <w:bookmarkEnd w:id="39"/>
      <w:r>
        <w:rPr>
          <w:rFonts w:hint="eastAsia"/>
          <w:b w:val="0"/>
          <w:bCs w:val="0"/>
          <w:color w:val="auto"/>
          <w:sz w:val="32"/>
          <w:szCs w:val="32"/>
        </w:rPr>
        <w:t>“十四五”时期顺义区金融业发展的主要举措</w:t>
      </w:r>
      <w:bookmarkEnd w:id="40"/>
    </w:p>
    <w:p>
      <w:pPr>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highlight w:val="none"/>
        </w:rPr>
      </w:pPr>
      <w:r>
        <w:rPr>
          <w:rFonts w:hint="eastAsia" w:ascii="仿宋_GB2312" w:hAnsi="仿宋_GB2312" w:cs="仿宋_GB2312"/>
          <w:color w:val="auto"/>
          <w:kern w:val="0"/>
          <w:sz w:val="32"/>
          <w:szCs w:val="32"/>
        </w:rPr>
        <w:t>“十四五”时期，</w:t>
      </w:r>
      <w:r>
        <w:rPr>
          <w:rFonts w:hint="eastAsia" w:ascii="仿宋_GB2312" w:hAnsi="仿宋_GB2312" w:cs="仿宋_GB2312"/>
          <w:color w:val="auto"/>
          <w:kern w:val="0"/>
          <w:sz w:val="32"/>
          <w:szCs w:val="32"/>
          <w:highlight w:val="none"/>
          <w:lang w:eastAsia="zh-CN"/>
        </w:rPr>
        <w:t>顺义区</w:t>
      </w:r>
      <w:r>
        <w:rPr>
          <w:rFonts w:hint="eastAsia" w:ascii="仿宋_GB2312" w:hAnsi="仿宋_GB2312" w:cs="仿宋_GB2312"/>
          <w:color w:val="auto"/>
          <w:kern w:val="0"/>
          <w:sz w:val="32"/>
          <w:szCs w:val="32"/>
          <w:highlight w:val="none"/>
        </w:rPr>
        <w:t>紧紧围绕将金融作为全区第三大支柱产业做大做强的发展目标，战略引导、一以贯之、上下统筹，</w:t>
      </w:r>
      <w:r>
        <w:rPr>
          <w:rFonts w:hint="eastAsia" w:ascii="仿宋_GB2312" w:hAnsi="仿宋_GB2312" w:cs="仿宋_GB2312"/>
          <w:color w:val="auto"/>
          <w:kern w:val="0"/>
          <w:sz w:val="32"/>
          <w:szCs w:val="32"/>
          <w:highlight w:val="none"/>
          <w:lang w:eastAsia="zh-CN"/>
        </w:rPr>
        <w:t>进一步</w:t>
      </w:r>
      <w:r>
        <w:rPr>
          <w:rFonts w:hint="eastAsia" w:ascii="仿宋_GB2312" w:hAnsi="仿宋_GB2312" w:cs="仿宋_GB2312"/>
          <w:color w:val="auto"/>
          <w:kern w:val="0"/>
          <w:sz w:val="32"/>
          <w:szCs w:val="32"/>
          <w:highlight w:val="none"/>
        </w:rPr>
        <w:t>完善要素供给，健全政策和服务保障体系，</w:t>
      </w:r>
      <w:r>
        <w:rPr>
          <w:rFonts w:hint="eastAsia" w:ascii="仿宋_GB2312" w:hAnsi="仿宋_GB2312" w:cs="仿宋_GB2312"/>
          <w:color w:val="auto"/>
          <w:kern w:val="0"/>
          <w:sz w:val="32"/>
          <w:szCs w:val="32"/>
        </w:rPr>
        <w:t>充分发挥“首都产业金融中心”、“国家</w:t>
      </w:r>
      <w:r>
        <w:rPr>
          <w:rFonts w:hint="eastAsia" w:ascii="仿宋_GB2312" w:hAnsi="仿宋_GB2312" w:cs="仿宋_GB2312"/>
          <w:color w:val="auto"/>
          <w:kern w:val="0"/>
          <w:sz w:val="32"/>
          <w:szCs w:val="32"/>
          <w:highlight w:val="none"/>
        </w:rPr>
        <w:t>产融合作试点城市”</w:t>
      </w:r>
      <w:r>
        <w:rPr>
          <w:rFonts w:hint="eastAsia" w:ascii="仿宋_GB2312" w:hAnsi="仿宋_GB2312" w:cs="仿宋_GB2312"/>
          <w:color w:val="auto"/>
          <w:kern w:val="0"/>
          <w:sz w:val="32"/>
          <w:szCs w:val="32"/>
          <w:highlight w:val="none"/>
          <w:lang w:eastAsia="zh-CN"/>
        </w:rPr>
        <w:t>等</w:t>
      </w:r>
      <w:r>
        <w:rPr>
          <w:rFonts w:hint="eastAsia" w:ascii="仿宋_GB2312" w:hAnsi="仿宋_GB2312" w:cs="仿宋_GB2312"/>
          <w:color w:val="auto"/>
          <w:kern w:val="0"/>
          <w:sz w:val="32"/>
          <w:szCs w:val="32"/>
          <w:highlight w:val="none"/>
        </w:rPr>
        <w:t>平台优势，依托实体产业大区雄厚产业基础，大力发展具有顺义特色的产业金融业态</w:t>
      </w:r>
      <w:r>
        <w:rPr>
          <w:rFonts w:hint="eastAsia" w:ascii="仿宋_GB2312" w:hAnsi="仿宋_GB2312" w:cs="仿宋_GB2312"/>
          <w:color w:val="auto"/>
          <w:kern w:val="0"/>
          <w:sz w:val="32"/>
          <w:szCs w:val="32"/>
          <w:highlight w:val="none"/>
          <w:lang w:eastAsia="zh-CN"/>
        </w:rPr>
        <w:t>，</w:t>
      </w:r>
      <w:r>
        <w:rPr>
          <w:rFonts w:hint="eastAsia" w:ascii="仿宋_GB2312" w:hAnsi="仿宋_GB2312" w:cs="仿宋_GB2312"/>
          <w:color w:val="auto"/>
          <w:kern w:val="0"/>
          <w:sz w:val="32"/>
          <w:szCs w:val="32"/>
          <w:highlight w:val="none"/>
        </w:rPr>
        <w:t>打好产业金融品牌，举好产业金融旗帜，走出顺义金融产业化、特色化、差异化发展新道路，为重磅项目落地、产融深度协同、企业上市提速，构建一个更趋完备、持续向好的区域金融发展环境。</w:t>
      </w:r>
    </w:p>
    <w:p>
      <w:pPr>
        <w:pStyle w:val="4"/>
        <w:wordWrap/>
        <w:adjustRightInd w:val="0"/>
        <w:snapToGrid w:val="0"/>
        <w:spacing w:before="0" w:after="0" w:line="560" w:lineRule="exact"/>
        <w:ind w:left="0" w:leftChars="0" w:right="0" w:firstLine="642" w:firstLineChars="200"/>
        <w:jc w:val="both"/>
        <w:textAlignment w:val="auto"/>
        <w:rPr>
          <w:rFonts w:hint="eastAsia"/>
          <w:color w:val="auto"/>
          <w:lang w:eastAsia="zh-CN"/>
        </w:rPr>
      </w:pPr>
      <w:bookmarkStart w:id="41" w:name="_Toc1348303020_WPSOffice_Level2"/>
      <w:r>
        <w:rPr>
          <w:rFonts w:hint="eastAsia" w:ascii="楷体_GB2312" w:hAnsi="楷体_GB2312" w:eastAsia="楷体_GB2312" w:cs="楷体_GB2312"/>
          <w:strike w:val="0"/>
          <w:dstrike w:val="0"/>
          <w:color w:val="auto"/>
          <w:sz w:val="32"/>
          <w:szCs w:val="32"/>
        </w:rPr>
        <w:t>（一）</w:t>
      </w:r>
      <w:r>
        <w:rPr>
          <w:rFonts w:hint="eastAsia" w:ascii="楷体_GB2312" w:hAnsi="楷体_GB2312" w:eastAsia="楷体_GB2312" w:cs="楷体_GB2312"/>
          <w:strike w:val="0"/>
          <w:dstrike w:val="0"/>
          <w:color w:val="auto"/>
          <w:sz w:val="32"/>
          <w:szCs w:val="32"/>
          <w:lang w:eastAsia="zh-CN"/>
        </w:rPr>
        <w:t>以招商引资为内核，以特色发展为方向，与时俱进全力构建顺义金融产业发展新格局</w:t>
      </w:r>
      <w:bookmarkEnd w:id="41"/>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rPr>
        <w:t>在金融发展布局上，按照立足区域基础、突出特色定位、实现错位发展的原则，进一步加快推进“后沙峪金融商务区、马坡金融城、空港融资租赁产业园”三大金融发展平台建设，主动承接非首都功能疏解金融要素，持续完善功能配套和服务环境，引导优质金融机构实地入驻办公，强化三大平台虹吸聚合功能，加快形成特色鲜明、功能齐全、品质一流的现代新型金融聚集区。</w:t>
      </w:r>
    </w:p>
    <w:p>
      <w:pPr>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在金融发展基础上，</w:t>
      </w:r>
      <w:r>
        <w:rPr>
          <w:rFonts w:hint="eastAsia" w:ascii="仿宋_GB2312" w:hAnsi="仿宋_GB2312" w:cs="仿宋_GB2312"/>
          <w:color w:val="auto"/>
          <w:kern w:val="0"/>
          <w:sz w:val="32"/>
          <w:szCs w:val="32"/>
        </w:rPr>
        <w:t>稳步推进产业基金持续集聚。做大、做强、做优政府引导基金，充分发挥母基金在重要产业领域的引导优化功能，依托首都国际机场、临空经济等国际化资源，加快推进国际知名、国内领先、运营专业、绩效优良的股权投资机构和大型产业基金持续性、成体系、组团式聚拢顺义。充分发挥实体产业金融需求旺盛的独特优势，重点支持新能源、半导体、航空航天、新材料、医药生物等高精尖产业相匹配的产业基金入区发展，形成“产业基金+产业集群+产业智造”的发展新范式。</w:t>
      </w:r>
    </w:p>
    <w:p>
      <w:pPr>
        <w:widowControl/>
        <w:wordWrap/>
        <w:adjustRightInd w:val="0"/>
        <w:snapToGrid w:val="0"/>
        <w:spacing w:line="560" w:lineRule="exact"/>
        <w:ind w:left="0" w:leftChars="0" w:right="0" w:firstLine="640" w:firstLineChars="200"/>
        <w:jc w:val="both"/>
        <w:textAlignment w:val="auto"/>
        <w:rPr>
          <w:color w:val="auto"/>
        </w:rPr>
      </w:pPr>
      <w:r>
        <w:rPr>
          <w:rFonts w:hint="eastAsia" w:ascii="仿宋_GB2312" w:hAnsi="仿宋_GB2312" w:cs="仿宋_GB2312"/>
          <w:color w:val="auto"/>
          <w:kern w:val="0"/>
          <w:sz w:val="32"/>
          <w:szCs w:val="32"/>
          <w:highlight w:val="none"/>
        </w:rPr>
        <w:t>在金融业态发展上，紧紧把握金融创新发展历史机遇，大力推动新兴金融资源集聚，着力拓展金融产业发展新业态，填补金融行业空白。</w:t>
      </w:r>
      <w:r>
        <w:rPr>
          <w:rFonts w:hint="eastAsia" w:ascii="仿宋_GB2312" w:hAnsi="仿宋_GB2312" w:cs="仿宋_GB2312"/>
          <w:color w:val="auto"/>
          <w:kern w:val="0"/>
          <w:sz w:val="32"/>
          <w:szCs w:val="32"/>
        </w:rPr>
        <w:t>从依靠传统的银证保支撑，向积极抢抓未来财富管理市场转变，吸引理财公司、期货公司、公募基金、私募证券基金新兴金融业态落户发展，形成传统与新兴的优势互补，进而有效提升金融产业抗结构性风险能力，提高行业发展韧性。</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在金融机构引入上，加强招商推广力度，系统匹配政策支持体系，不断保持金融政策比较优势，持续坚持招大引强，重点引进金融集团总部型、经营性和高端化法人金融机构，提升入驻机构法人等级；把握居民财富保值增值诉求，重点引进资产管理机构和财富管理机构，争取全国性大中型保险资产管理公司落户顺义；大力引进境外财富管理机构，加速集聚优质</w:t>
      </w:r>
      <w:r>
        <w:rPr>
          <w:rFonts w:hint="eastAsia" w:ascii="仿宋_GB2312" w:hAnsi="仿宋_GB2312" w:cs="仿宋_GB2312"/>
          <w:color w:val="auto"/>
          <w:kern w:val="0"/>
          <w:sz w:val="32"/>
          <w:szCs w:val="32"/>
          <w:lang w:eastAsia="zh-CN"/>
        </w:rPr>
        <w:t>持牌</w:t>
      </w:r>
      <w:r>
        <w:rPr>
          <w:rFonts w:hint="eastAsia" w:ascii="仿宋_GB2312" w:hAnsi="仿宋_GB2312" w:cs="仿宋_GB2312"/>
          <w:color w:val="auto"/>
          <w:kern w:val="0"/>
          <w:sz w:val="32"/>
          <w:szCs w:val="32"/>
        </w:rPr>
        <w:t>机构，着力解决龙头企业不多的问题。</w:t>
      </w:r>
    </w:p>
    <w:p>
      <w:pPr>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rPr>
        <w:t>在数字化转型上，依托国家新基础设施建设战略，加快推进5G、物联网、大数据、区块链和人工智能等应用发展，不断夯实区内金融业数字化转型的技术基础和设施储备，进一步提升金融服务覆盖面、普惠性和精准度。重点支持金融科技企业和专业服务机构落户顺义，重点引入大型金融机构科技总部或金融科技公司、大型互联网平台及其下属机构、从事金融科技研发应用的科技企业。以金融科技为驱动，持续赋能金融产品和服务创新，不断拓展金融科技应用场景，引导金融“活水”流向数字化金融生态体系。</w:t>
      </w:r>
    </w:p>
    <w:p>
      <w:pPr>
        <w:widowControl/>
        <w:wordWrap/>
        <w:adjustRightInd w:val="0"/>
        <w:snapToGrid w:val="0"/>
        <w:spacing w:line="560" w:lineRule="exact"/>
        <w:ind w:left="0" w:leftChars="0" w:right="0" w:firstLine="640" w:firstLineChars="200"/>
        <w:jc w:val="both"/>
        <w:textAlignment w:val="auto"/>
        <w:rPr>
          <w:color w:val="auto"/>
        </w:rPr>
      </w:pPr>
      <w:r>
        <w:rPr>
          <w:rFonts w:hint="eastAsia" w:ascii="仿宋_GB2312" w:hAnsi="仿宋_GB2312" w:cs="仿宋_GB2312"/>
          <w:color w:val="auto"/>
          <w:kern w:val="0"/>
          <w:sz w:val="32"/>
          <w:szCs w:val="32"/>
          <w:lang w:eastAsia="zh-CN"/>
        </w:rPr>
        <w:t>在品牌影响力上，</w:t>
      </w:r>
      <w:r>
        <w:rPr>
          <w:rFonts w:hint="eastAsia" w:ascii="仿宋_GB2312" w:hAnsi="仿宋_GB2312" w:cs="仿宋_GB2312"/>
          <w:color w:val="auto"/>
          <w:kern w:val="0"/>
          <w:sz w:val="32"/>
          <w:szCs w:val="32"/>
        </w:rPr>
        <w:t>广泛运用多种渠道，切实提升顺义金融发展活跃度。充分利用服贸会等国际性大型展会、“全球</w:t>
      </w:r>
      <w:r>
        <w:rPr>
          <w:rFonts w:ascii="仿宋_GB2312" w:hAnsi="仿宋_GB2312" w:cs="仿宋_GB2312"/>
          <w:color w:val="auto"/>
          <w:kern w:val="0"/>
          <w:sz w:val="32"/>
          <w:szCs w:val="32"/>
        </w:rPr>
        <w:t>PE</w:t>
      </w:r>
      <w:r>
        <w:rPr>
          <w:rFonts w:hint="eastAsia" w:ascii="仿宋_GB2312" w:hAnsi="仿宋_GB2312" w:cs="仿宋_GB2312"/>
          <w:color w:val="auto"/>
          <w:kern w:val="0"/>
          <w:sz w:val="32"/>
          <w:szCs w:val="32"/>
        </w:rPr>
        <w:t>论坛”、“中国资本市场峰会”等行业年度论坛，集聚专家学者、行业精英、机构代表，共商前沿热点，营造浓厚发展氛围。积极发挥新媒体传播渠道作用，借助政府网站、网络直播、在线发布等方式，充分宣传顺义金融产业发展成果，扩大顺义金融品牌影响力，</w:t>
      </w:r>
      <w:r>
        <w:rPr>
          <w:rFonts w:hint="eastAsia" w:ascii="仿宋_GB2312" w:hAnsi="仿宋_GB2312" w:cs="仿宋_GB2312"/>
          <w:color w:val="auto"/>
          <w:kern w:val="0"/>
          <w:sz w:val="32"/>
          <w:szCs w:val="32"/>
          <w:lang w:eastAsia="zh-CN"/>
        </w:rPr>
        <w:t>以品牌促招商，以招商塑品牌，全力</w:t>
      </w:r>
      <w:r>
        <w:rPr>
          <w:rFonts w:hint="eastAsia" w:ascii="仿宋_GB2312" w:hAnsi="仿宋_GB2312" w:cs="仿宋_GB2312"/>
          <w:color w:val="auto"/>
          <w:kern w:val="0"/>
          <w:sz w:val="32"/>
          <w:szCs w:val="32"/>
        </w:rPr>
        <w:t>打造具有顺义特色、体现国门特点、金融机构聚集发展的新</w:t>
      </w:r>
      <w:r>
        <w:rPr>
          <w:rFonts w:ascii="仿宋_GB2312" w:hAnsi="仿宋_GB2312" w:cs="仿宋_GB2312"/>
          <w:color w:val="auto"/>
          <w:kern w:val="0"/>
          <w:sz w:val="32"/>
          <w:szCs w:val="32"/>
        </w:rPr>
        <w:t>IP</w:t>
      </w:r>
      <w:r>
        <w:rPr>
          <w:rFonts w:hint="eastAsia" w:ascii="仿宋_GB2312" w:hAnsi="仿宋_GB2312" w:cs="仿宋_GB2312"/>
          <w:color w:val="auto"/>
          <w:kern w:val="0"/>
          <w:sz w:val="32"/>
          <w:szCs w:val="32"/>
        </w:rPr>
        <w:t>。</w:t>
      </w:r>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42" w:name="_Toc84857763"/>
      <w:bookmarkStart w:id="43" w:name="_Toc1997108508_WPSOffice_Level2"/>
      <w:bookmarkStart w:id="44" w:name="_Toc84857762"/>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以风险防范为前提，以关口前移为导向，多措并举坚决筑牢金融风险防范</w:t>
      </w:r>
      <w:bookmarkEnd w:id="42"/>
      <w:r>
        <w:rPr>
          <w:rFonts w:hint="eastAsia" w:ascii="楷体_GB2312" w:hAnsi="楷体_GB2312" w:eastAsia="楷体_GB2312" w:cs="楷体_GB2312"/>
          <w:color w:val="auto"/>
          <w:sz w:val="32"/>
          <w:szCs w:val="32"/>
          <w:lang w:eastAsia="zh-CN"/>
        </w:rPr>
        <w:t>防火墙</w:t>
      </w:r>
      <w:bookmarkEnd w:id="43"/>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注重法治引导。</w:t>
      </w:r>
      <w:r>
        <w:rPr>
          <w:rFonts w:hint="eastAsia" w:ascii="仿宋_GB2312" w:hAnsi="仿宋_GB2312" w:cs="仿宋_GB2312"/>
          <w:color w:val="auto"/>
          <w:kern w:val="0"/>
          <w:sz w:val="32"/>
          <w:szCs w:val="32"/>
        </w:rPr>
        <w:t>持续抓好</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防范和处置非法集资</w:t>
      </w:r>
      <w:r>
        <w:rPr>
          <w:rFonts w:hint="eastAsia" w:ascii="仿宋_GB2312" w:hAnsi="仿宋_GB2312" w:cs="仿宋_GB2312"/>
          <w:color w:val="auto"/>
          <w:kern w:val="0"/>
          <w:sz w:val="32"/>
          <w:szCs w:val="32"/>
          <w:highlight w:val="none"/>
        </w:rPr>
        <w:t>条例</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的贯彻实施，</w:t>
      </w:r>
      <w:r>
        <w:rPr>
          <w:rFonts w:hint="eastAsia" w:ascii="仿宋_GB2312" w:hAnsi="仿宋_GB2312" w:cs="仿宋_GB2312"/>
          <w:color w:val="auto"/>
          <w:kern w:val="0"/>
          <w:sz w:val="32"/>
          <w:szCs w:val="32"/>
          <w:lang w:eastAsia="zh-CN"/>
        </w:rPr>
        <w:t>进一步强化相关党政机关、社会公众对防范和处置非法集资工作的认识，推动形成防范和处置非法集资人人有责、人人担责、人人尽责、群防群治的良好工作局面。</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完善治理体系。要以《</w:t>
      </w:r>
      <w:r>
        <w:rPr>
          <w:rFonts w:hint="eastAsia" w:ascii="仿宋_GB2312" w:hAnsi="仿宋_GB2312" w:cs="仿宋_GB2312"/>
          <w:color w:val="auto"/>
          <w:kern w:val="0"/>
          <w:sz w:val="32"/>
          <w:szCs w:val="32"/>
        </w:rPr>
        <w:t>防范和处置非法集资</w:t>
      </w:r>
      <w:r>
        <w:rPr>
          <w:rFonts w:hint="eastAsia" w:ascii="仿宋_GB2312" w:hAnsi="仿宋_GB2312" w:cs="仿宋_GB2312"/>
          <w:color w:val="auto"/>
          <w:kern w:val="0"/>
          <w:sz w:val="32"/>
          <w:szCs w:val="32"/>
          <w:highlight w:val="none"/>
        </w:rPr>
        <w:t>条例</w:t>
      </w:r>
      <w:r>
        <w:rPr>
          <w:rFonts w:hint="eastAsia" w:ascii="仿宋_GB2312" w:hAnsi="仿宋_GB2312" w:cs="仿宋_GB2312"/>
          <w:color w:val="auto"/>
          <w:kern w:val="0"/>
          <w:sz w:val="32"/>
          <w:szCs w:val="32"/>
          <w:lang w:eastAsia="zh-CN"/>
        </w:rPr>
        <w:t>》的实行为契机，进一步健全完善防范和处置非法集资的工作机制和治理体系，健全工作制度，明确工作责任，顺畅工作流程，形成地方金融工作部门牵头、各属地政府、行业主管部门、各执法主体和执法部门各司其职、各尽其责、协同配合的工作机制，强化工作合力，</w:t>
      </w:r>
      <w:r>
        <w:rPr>
          <w:rFonts w:hint="eastAsia" w:ascii="仿宋_GB2312" w:hAnsi="仿宋_GB2312" w:cs="仿宋_GB2312"/>
          <w:color w:val="auto"/>
          <w:kern w:val="0"/>
          <w:sz w:val="32"/>
          <w:szCs w:val="32"/>
        </w:rPr>
        <w:t>牢牢守住不发生系统性金融风险底线。</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i w:val="0"/>
          <w:color w:val="auto"/>
          <w:kern w:val="0"/>
          <w:sz w:val="32"/>
          <w:szCs w:val="32"/>
          <w:highlight w:val="none"/>
          <w:lang w:val="en-US" w:eastAsia="zh-CN" w:bidi="ar-SA"/>
        </w:rPr>
      </w:pPr>
      <w:r>
        <w:rPr>
          <w:rFonts w:hint="eastAsia" w:ascii="仿宋_GB2312" w:hAnsi="仿宋_GB2312" w:eastAsia="仿宋_GB2312" w:cs="仿宋_GB2312"/>
          <w:i w:val="0"/>
          <w:color w:val="auto"/>
          <w:kern w:val="0"/>
          <w:sz w:val="32"/>
          <w:szCs w:val="32"/>
          <w:highlight w:val="none"/>
          <w:lang w:val="en-US" w:eastAsia="zh-CN" w:bidi="ar-SA"/>
        </w:rPr>
        <w:t>坚持抓早抓小。</w:t>
      </w:r>
      <w:r>
        <w:rPr>
          <w:rFonts w:hint="eastAsia" w:ascii="仿宋_GB2312" w:hAnsi="仿宋_GB2312" w:cs="仿宋_GB2312"/>
          <w:i w:val="0"/>
          <w:color w:val="auto"/>
          <w:kern w:val="0"/>
          <w:sz w:val="32"/>
          <w:szCs w:val="32"/>
          <w:highlight w:val="none"/>
          <w:lang w:val="en-US" w:eastAsia="zh-CN" w:bidi="ar-SA"/>
        </w:rPr>
        <w:t>坚持关口前移，防范未然，严格落实好“五位一体”风险防范化解机制，织密金融、行业、属地、执法等各部门共同参与的风险排查防范网络，</w:t>
      </w:r>
      <w:r>
        <w:rPr>
          <w:rFonts w:ascii="仿宋_GB2312" w:hAnsi="仿宋_GB2312" w:cs="仿宋_GB2312"/>
          <w:color w:val="auto"/>
          <w:kern w:val="0"/>
          <w:sz w:val="32"/>
          <w:szCs w:val="32"/>
        </w:rPr>
        <w:t>采取日常监管、网格巡查、楼宇管理、专项排查、核实举报等</w:t>
      </w:r>
      <w:r>
        <w:rPr>
          <w:rFonts w:hint="eastAsia" w:ascii="仿宋_GB2312" w:hAnsi="仿宋_GB2312" w:cs="仿宋_GB2312"/>
          <w:color w:val="auto"/>
          <w:kern w:val="0"/>
          <w:sz w:val="32"/>
          <w:szCs w:val="32"/>
        </w:rPr>
        <w:t>多种</w:t>
      </w:r>
      <w:r>
        <w:rPr>
          <w:rFonts w:ascii="仿宋_GB2312" w:hAnsi="仿宋_GB2312" w:cs="仿宋_GB2312"/>
          <w:color w:val="auto"/>
          <w:kern w:val="0"/>
          <w:sz w:val="32"/>
          <w:szCs w:val="32"/>
        </w:rPr>
        <w:t>方式，</w:t>
      </w:r>
      <w:r>
        <w:rPr>
          <w:rFonts w:hint="eastAsia" w:ascii="仿宋_GB2312" w:hAnsi="仿宋_GB2312" w:cs="仿宋_GB2312"/>
          <w:i w:val="0"/>
          <w:color w:val="auto"/>
          <w:kern w:val="0"/>
          <w:sz w:val="32"/>
          <w:szCs w:val="32"/>
          <w:highlight w:val="none"/>
          <w:lang w:val="en-US" w:eastAsia="zh-CN" w:bidi="ar-SA"/>
        </w:rPr>
        <w:t>加强日常风险排查，充分利用信访举报、12345市民热线等线上线下信息获取渠道，及时发现金融风险防范化解的苗头性问题，及时组织研判会商，采取有效措施坚决防止风险扩大扩散。</w:t>
      </w:r>
    </w:p>
    <w:p>
      <w:pPr>
        <w:widowControl/>
        <w:wordWrap/>
        <w:adjustRightInd w:val="0"/>
        <w:snapToGrid w:val="0"/>
        <w:spacing w:line="560" w:lineRule="exact"/>
        <w:ind w:left="0" w:leftChars="0" w:right="0"/>
        <w:jc w:val="both"/>
        <w:textAlignment w:val="auto"/>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val="en-US" w:eastAsia="zh-CN"/>
        </w:rPr>
        <w:t xml:space="preserve">    用好现代化手段。</w:t>
      </w:r>
      <w:r>
        <w:rPr>
          <w:rFonts w:hint="eastAsia" w:ascii="仿宋_GB2312" w:hAnsi="仿宋_GB2312" w:cs="仿宋_GB2312"/>
          <w:color w:val="auto"/>
          <w:kern w:val="0"/>
          <w:sz w:val="32"/>
          <w:szCs w:val="32"/>
          <w:lang w:eastAsia="zh-CN"/>
        </w:rPr>
        <w:t>全面</w:t>
      </w:r>
      <w:r>
        <w:rPr>
          <w:rFonts w:hint="eastAsia" w:ascii="仿宋_GB2312" w:hAnsi="仿宋_GB2312" w:cs="仿宋_GB2312"/>
          <w:color w:val="auto"/>
          <w:kern w:val="0"/>
          <w:sz w:val="32"/>
          <w:szCs w:val="32"/>
        </w:rPr>
        <w:t>提升</w:t>
      </w:r>
      <w:r>
        <w:rPr>
          <w:rFonts w:hint="eastAsia" w:ascii="仿宋_GB2312" w:hAnsi="仿宋_GB2312" w:cs="仿宋_GB2312"/>
          <w:color w:val="auto"/>
          <w:kern w:val="0"/>
          <w:sz w:val="32"/>
          <w:szCs w:val="32"/>
          <w:lang w:eastAsia="zh-CN"/>
        </w:rPr>
        <w:t>风险防范</w:t>
      </w:r>
      <w:r>
        <w:rPr>
          <w:rFonts w:hint="eastAsia" w:ascii="仿宋_GB2312" w:hAnsi="仿宋_GB2312" w:cs="仿宋_GB2312"/>
          <w:color w:val="auto"/>
          <w:kern w:val="0"/>
          <w:sz w:val="32"/>
          <w:szCs w:val="32"/>
        </w:rPr>
        <w:t>科技化水平，</w:t>
      </w:r>
      <w:r>
        <w:rPr>
          <w:rFonts w:hint="eastAsia" w:ascii="仿宋_GB2312" w:hAnsi="仿宋_GB2312" w:cs="仿宋_GB2312"/>
          <w:color w:val="auto"/>
          <w:kern w:val="0"/>
          <w:sz w:val="32"/>
          <w:szCs w:val="32"/>
          <w:lang w:eastAsia="zh-CN"/>
        </w:rPr>
        <w:t>构筑现代化风险预警平台。</w:t>
      </w:r>
      <w:r>
        <w:rPr>
          <w:rFonts w:hint="eastAsia" w:ascii="仿宋_GB2312" w:hAnsi="仿宋_GB2312" w:cs="仿宋_GB2312"/>
          <w:color w:val="auto"/>
          <w:kern w:val="0"/>
          <w:sz w:val="32"/>
          <w:szCs w:val="32"/>
        </w:rPr>
        <w:t>充分运用互联网、大数据、人工智能等技术，有序甄别高风险、异常和涉众等交易行为，实现风险早识别、早预警、早处置，提升金融风险的技术防控能力，构筑现代化风险防范预警平台</w:t>
      </w:r>
      <w:r>
        <w:rPr>
          <w:rFonts w:hint="eastAsia" w:ascii="仿宋_GB2312" w:hAnsi="仿宋_GB2312" w:cs="仿宋_GB2312"/>
          <w:color w:val="auto"/>
          <w:kern w:val="0"/>
          <w:sz w:val="32"/>
          <w:szCs w:val="32"/>
          <w:lang w:eastAsia="zh-CN"/>
        </w:rPr>
        <w:t>。</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rPr>
        <w:t>持续</w:t>
      </w:r>
      <w:r>
        <w:rPr>
          <w:rFonts w:hint="eastAsia" w:ascii="仿宋_GB2312" w:hAnsi="仿宋_GB2312" w:cs="仿宋_GB2312"/>
          <w:color w:val="auto"/>
          <w:kern w:val="0"/>
          <w:sz w:val="32"/>
          <w:szCs w:val="32"/>
          <w:lang w:eastAsia="zh-CN"/>
        </w:rPr>
        <w:t>强化</w:t>
      </w:r>
      <w:r>
        <w:rPr>
          <w:rFonts w:hint="eastAsia" w:ascii="仿宋_GB2312" w:hAnsi="仿宋_GB2312" w:cs="仿宋_GB2312"/>
          <w:color w:val="auto"/>
          <w:kern w:val="0"/>
          <w:sz w:val="32"/>
          <w:szCs w:val="32"/>
        </w:rPr>
        <w:t>宣传</w:t>
      </w:r>
      <w:r>
        <w:rPr>
          <w:rFonts w:hint="eastAsia" w:ascii="仿宋_GB2312" w:hAnsi="仿宋_GB2312" w:cs="仿宋_GB2312"/>
          <w:color w:val="auto"/>
          <w:kern w:val="0"/>
          <w:sz w:val="32"/>
          <w:szCs w:val="32"/>
          <w:lang w:eastAsia="zh-CN"/>
        </w:rPr>
        <w:t>引导。聚焦辖区群众金融风险防范意识的全面提升，持续组织开展金融风险防范宣传“七进”活动，通过进社区、进村镇、进楼宇、进学校等，不断提高金融风险防范知识的宣传覆盖面，不断提升辖区群众对非法集资等非法金融活动的鉴别力，教育引导辖区群众自觉远离和抵制非法金融活动，形成金融风险防范的社会屏障。</w:t>
      </w:r>
    </w:p>
    <w:p>
      <w:pPr>
        <w:pStyle w:val="2"/>
        <w:wordWrap/>
        <w:spacing w:line="560" w:lineRule="exact"/>
        <w:ind w:left="0" w:leftChars="0" w:right="0" w:firstLine="0" w:firstLineChars="0"/>
        <w:jc w:val="both"/>
        <w:textAlignment w:val="auto"/>
        <w:rPr>
          <w:rFonts w:hint="eastAsia" w:ascii="仿宋_GB2312" w:hAnsi="仿宋_GB2312" w:eastAsia="仿宋_GB2312" w:cs="仿宋_GB2312"/>
          <w:i w:val="0"/>
          <w:color w:val="auto"/>
          <w:kern w:val="0"/>
          <w:sz w:val="32"/>
          <w:szCs w:val="32"/>
          <w:lang w:val="en-US" w:eastAsia="zh-CN" w:bidi="ar-SA"/>
        </w:rPr>
      </w:pPr>
      <w:r>
        <w:rPr>
          <w:rFonts w:hint="eastAsia" w:ascii="仿宋_GB2312" w:hAnsi="仿宋_GB2312" w:eastAsia="仿宋_GB2312" w:cs="仿宋_GB2312"/>
          <w:i w:val="0"/>
          <w:color w:val="auto"/>
          <w:kern w:val="0"/>
          <w:sz w:val="32"/>
          <w:szCs w:val="32"/>
          <w:lang w:val="en-US" w:eastAsia="zh-CN" w:bidi="ar-SA"/>
        </w:rPr>
        <w:t xml:space="preserve">   加大非法金融活动打击工作力度。进一步畅通非法金融活动打击的行刑衔接工作力度，金融工作部门、各行业主管部门、各属地、各执法部门工作中发现的非法金融活动线索，及时移送司法机关依法调查处置。</w:t>
      </w:r>
    </w:p>
    <w:p>
      <w:pPr>
        <w:pStyle w:val="2"/>
        <w:wordWrap/>
        <w:spacing w:line="560" w:lineRule="exact"/>
        <w:ind w:left="0" w:leftChars="0" w:right="0" w:firstLine="0" w:firstLineChars="0"/>
        <w:jc w:val="both"/>
        <w:textAlignment w:val="auto"/>
        <w:rPr>
          <w:rFonts w:hint="eastAsia" w:ascii="楷体_GB2312" w:hAnsi="楷体_GB2312" w:eastAsia="楷体_GB2312" w:cs="楷体_GB2312"/>
          <w:b/>
          <w:bCs/>
          <w:i w:val="0"/>
          <w:color w:val="auto"/>
          <w:kern w:val="2"/>
          <w:sz w:val="32"/>
          <w:szCs w:val="32"/>
          <w:lang w:val="en-US" w:eastAsia="zh-CN" w:bidi="ar-SA"/>
        </w:rPr>
      </w:pPr>
      <w:r>
        <w:rPr>
          <w:rFonts w:hint="eastAsia" w:ascii="楷体_GB2312" w:hAnsi="楷体_GB2312" w:eastAsia="楷体_GB2312" w:cs="楷体_GB2312"/>
          <w:b/>
          <w:bCs/>
          <w:i w:val="0"/>
          <w:color w:val="auto"/>
          <w:kern w:val="2"/>
          <w:sz w:val="32"/>
          <w:szCs w:val="32"/>
          <w:lang w:val="en-US" w:eastAsia="zh-CN" w:bidi="ar-SA"/>
        </w:rPr>
        <w:t xml:space="preserve">  </w:t>
      </w:r>
      <w:bookmarkStart w:id="45" w:name="_Toc1174445966_WPSOffice_Level2"/>
      <w:r>
        <w:rPr>
          <w:rFonts w:hint="eastAsia" w:ascii="楷体_GB2312" w:hAnsi="楷体_GB2312" w:eastAsia="楷体_GB2312" w:cs="楷体_GB2312"/>
          <w:b/>
          <w:bCs/>
          <w:i w:val="0"/>
          <w:color w:val="auto"/>
          <w:kern w:val="2"/>
          <w:sz w:val="32"/>
          <w:szCs w:val="32"/>
          <w:lang w:val="en-US" w:eastAsia="zh-CN" w:bidi="ar-SA"/>
        </w:rPr>
        <w:t>（三）以金融支持实体经济为本源，以产融对接为手段，强力支持区域经济社会高质量发展</w:t>
      </w:r>
      <w:bookmarkEnd w:id="44"/>
      <w:bookmarkEnd w:id="45"/>
      <w:bookmarkStart w:id="56" w:name="_GoBack"/>
      <w:bookmarkEnd w:id="56"/>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不断优化金融服务供给。</w:t>
      </w:r>
      <w:r>
        <w:rPr>
          <w:rFonts w:hint="eastAsia" w:ascii="仿宋_GB2312" w:hAnsi="仿宋_GB2312" w:cs="仿宋_GB2312"/>
          <w:color w:val="auto"/>
          <w:kern w:val="0"/>
          <w:sz w:val="32"/>
          <w:szCs w:val="32"/>
        </w:rPr>
        <w:t>顺义区金融产业发展将立足国内大循环为主体、国内国际双循环相互促进的新发展格局，充分认识新冠疫情的中长期冲击效应，注重以金融服务顺畅生产流通等重要环节，立足顺义区</w:t>
      </w:r>
      <w:r>
        <w:rPr>
          <w:rFonts w:hint="eastAsia" w:ascii="仿宋_GB2312" w:hAnsi="仿宋_GB2312" w:cs="仿宋_GB2312"/>
          <w:color w:val="auto"/>
          <w:kern w:val="0"/>
          <w:sz w:val="32"/>
          <w:szCs w:val="32"/>
          <w:lang w:eastAsia="zh-CN"/>
        </w:rPr>
        <w:t>三大主导</w:t>
      </w:r>
      <w:r>
        <w:rPr>
          <w:rFonts w:hint="eastAsia" w:ascii="仿宋_GB2312" w:hAnsi="仿宋_GB2312" w:cs="仿宋_GB2312"/>
          <w:color w:val="auto"/>
          <w:kern w:val="0"/>
          <w:sz w:val="32"/>
          <w:szCs w:val="32"/>
        </w:rPr>
        <w:t>产业，以金融供给侧结构性改革为主线，</w:t>
      </w:r>
      <w:r>
        <w:rPr>
          <w:rFonts w:hint="eastAsia" w:ascii="仿宋_GB2312" w:hAnsi="仿宋_GB2312" w:cs="仿宋_GB2312"/>
          <w:color w:val="auto"/>
          <w:kern w:val="0"/>
          <w:sz w:val="32"/>
          <w:szCs w:val="32"/>
          <w:highlight w:val="none"/>
        </w:rPr>
        <w:t>充分激发金融机构市场主体功能，综合统筹银行、证券、保险、基金、融资租赁、商业保理和金融中介服务机构等多方力量，充分发挥市场在资源配置中的决定性作用，不断优化金融供给体系，</w:t>
      </w:r>
      <w:r>
        <w:rPr>
          <w:rFonts w:hint="eastAsia" w:ascii="仿宋_GB2312" w:hAnsi="仿宋_GB2312" w:cs="仿宋_GB2312"/>
          <w:color w:val="auto"/>
          <w:kern w:val="0"/>
          <w:sz w:val="32"/>
          <w:szCs w:val="32"/>
        </w:rPr>
        <w:t>全面提升金融支持实体经济能力。</w:t>
      </w:r>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lang w:eastAsia="zh-CN"/>
        </w:rPr>
        <w:t>持续塑造</w:t>
      </w:r>
      <w:r>
        <w:rPr>
          <w:rFonts w:hint="eastAsia" w:ascii="仿宋_GB2312" w:hAnsi="仿宋_GB2312" w:cs="仿宋_GB2312"/>
          <w:color w:val="auto"/>
          <w:kern w:val="0"/>
          <w:sz w:val="32"/>
          <w:szCs w:val="32"/>
        </w:rPr>
        <w:t>产融合作</w:t>
      </w:r>
      <w:r>
        <w:rPr>
          <w:rFonts w:hint="eastAsia" w:ascii="仿宋_GB2312" w:hAnsi="仿宋_GB2312" w:cs="仿宋_GB2312"/>
          <w:color w:val="auto"/>
          <w:kern w:val="0"/>
          <w:sz w:val="32"/>
          <w:szCs w:val="32"/>
          <w:lang w:eastAsia="zh-CN"/>
        </w:rPr>
        <w:t>品牌</w:t>
      </w:r>
      <w:r>
        <w:rPr>
          <w:rFonts w:hint="eastAsia" w:ascii="仿宋_GB2312" w:hAnsi="仿宋_GB2312" w:cs="仿宋_GB2312"/>
          <w:color w:val="auto"/>
          <w:kern w:val="0"/>
          <w:sz w:val="32"/>
          <w:szCs w:val="32"/>
        </w:rPr>
        <w:t>。立足顺义区域产业和金融基础，继续深化金融服务经济发展和产业升级功能。深挖区内重点企业、重大项目、储备库企业等实体产业的金融需求，充分发挥</w:t>
      </w:r>
      <w:r>
        <w:rPr>
          <w:rFonts w:hint="eastAsia" w:ascii="仿宋_GB2312" w:hAnsi="仿宋_GB2312" w:cs="仿宋_GB2312"/>
          <w:color w:val="auto"/>
          <w:kern w:val="0"/>
          <w:sz w:val="32"/>
          <w:szCs w:val="32"/>
          <w:lang w:eastAsia="zh-CN"/>
        </w:rPr>
        <w:t>区内</w:t>
      </w:r>
      <w:r>
        <w:rPr>
          <w:rFonts w:hint="eastAsia" w:ascii="仿宋_GB2312" w:hAnsi="仿宋_GB2312" w:cs="仿宋_GB2312"/>
          <w:color w:val="auto"/>
          <w:kern w:val="0"/>
          <w:sz w:val="32"/>
          <w:szCs w:val="32"/>
        </w:rPr>
        <w:t>金融机构集聚优势，持续做强“顺易投融”品牌，推动形成产业与金融的无缝对接，切实打通金融服务实体经济“最后一公里”。</w:t>
      </w:r>
    </w:p>
    <w:p>
      <w:pPr>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highlight w:val="none"/>
        </w:rPr>
      </w:pPr>
      <w:bookmarkStart w:id="46" w:name="_Toc1502480480_WPSOffice_Level3"/>
      <w:r>
        <w:rPr>
          <w:rFonts w:hint="eastAsia" w:ascii="仿宋_GB2312" w:hAnsi="仿宋_GB2312" w:cs="仿宋_GB2312"/>
          <w:color w:val="auto"/>
          <w:kern w:val="0"/>
          <w:sz w:val="32"/>
          <w:szCs w:val="32"/>
          <w:highlight w:val="none"/>
          <w:lang w:eastAsia="zh-CN"/>
        </w:rPr>
        <w:t>推动畅通上市直接融资渠道。</w:t>
      </w:r>
      <w:bookmarkEnd w:id="46"/>
      <w:r>
        <w:rPr>
          <w:rFonts w:hint="eastAsia" w:ascii="仿宋_GB2312" w:hAnsi="仿宋_GB2312" w:cs="仿宋_GB2312"/>
          <w:color w:val="auto"/>
          <w:kern w:val="0"/>
          <w:sz w:val="32"/>
          <w:szCs w:val="32"/>
          <w:highlight w:val="none"/>
        </w:rPr>
        <w:t>充分</w:t>
      </w:r>
      <w:r>
        <w:rPr>
          <w:rFonts w:ascii="仿宋_GB2312" w:hAnsi="仿宋_GB2312" w:cs="仿宋_GB2312"/>
          <w:color w:val="auto"/>
          <w:kern w:val="0"/>
          <w:sz w:val="32"/>
          <w:szCs w:val="32"/>
          <w:highlight w:val="none"/>
        </w:rPr>
        <w:t>发挥资本市场</w:t>
      </w:r>
      <w:r>
        <w:rPr>
          <w:rFonts w:hint="eastAsia" w:ascii="仿宋_GB2312" w:hAnsi="仿宋_GB2312" w:cs="仿宋_GB2312"/>
          <w:color w:val="auto"/>
          <w:kern w:val="0"/>
          <w:sz w:val="32"/>
          <w:szCs w:val="32"/>
          <w:highlight w:val="none"/>
          <w:lang w:eastAsia="zh-CN"/>
        </w:rPr>
        <w:t>直接</w:t>
      </w:r>
      <w:r>
        <w:rPr>
          <w:rFonts w:ascii="仿宋_GB2312" w:hAnsi="仿宋_GB2312" w:cs="仿宋_GB2312"/>
          <w:color w:val="auto"/>
          <w:kern w:val="0"/>
          <w:sz w:val="32"/>
          <w:szCs w:val="32"/>
          <w:highlight w:val="none"/>
        </w:rPr>
        <w:t>融资功能</w:t>
      </w:r>
      <w:r>
        <w:rPr>
          <w:rFonts w:hint="eastAsia" w:ascii="仿宋_GB2312" w:hAnsi="仿宋_GB2312" w:cs="仿宋_GB2312"/>
          <w:color w:val="auto"/>
          <w:kern w:val="0"/>
          <w:sz w:val="32"/>
          <w:szCs w:val="32"/>
          <w:highlight w:val="none"/>
        </w:rPr>
        <w:t>，借力资本市场有效服务科技型、创新型和创业型企业</w:t>
      </w:r>
      <w:r>
        <w:rPr>
          <w:rFonts w:hint="eastAsia" w:ascii="仿宋_GB2312" w:hAnsi="仿宋_GB2312" w:cs="仿宋_GB2312"/>
          <w:color w:val="auto"/>
          <w:kern w:val="0"/>
          <w:sz w:val="32"/>
          <w:szCs w:val="32"/>
          <w:highlight w:val="none"/>
          <w:lang w:eastAsia="zh-CN"/>
        </w:rPr>
        <w:t>，</w:t>
      </w:r>
      <w:r>
        <w:rPr>
          <w:rFonts w:hint="eastAsia" w:ascii="仿宋_GB2312" w:hAnsi="仿宋_GB2312" w:cs="仿宋_GB2312"/>
          <w:color w:val="auto"/>
          <w:kern w:val="0"/>
          <w:sz w:val="32"/>
          <w:szCs w:val="32"/>
          <w:highlight w:val="none"/>
        </w:rPr>
        <w:t>深化北京市上市挂牌企业总部基地建设</w:t>
      </w:r>
      <w:r>
        <w:rPr>
          <w:rFonts w:hint="eastAsia" w:ascii="仿宋_GB2312" w:hAnsi="仿宋_GB2312" w:cs="仿宋_GB2312"/>
          <w:color w:val="auto"/>
          <w:kern w:val="0"/>
          <w:sz w:val="32"/>
          <w:szCs w:val="32"/>
          <w:highlight w:val="none"/>
          <w:lang w:eastAsia="zh-CN"/>
        </w:rPr>
        <w:t>，</w:t>
      </w:r>
      <w:r>
        <w:rPr>
          <w:rFonts w:hint="eastAsia" w:ascii="仿宋_GB2312" w:hAnsi="仿宋_GB2312" w:cs="仿宋_GB2312"/>
          <w:color w:val="auto"/>
          <w:kern w:val="0"/>
          <w:sz w:val="32"/>
          <w:szCs w:val="32"/>
          <w:highlight w:val="none"/>
        </w:rPr>
        <w:t>优化升级顺义区上市培育企业资源库，形成分行业、分层次、分梯队的上市储备资源。</w:t>
      </w:r>
      <w:r>
        <w:rPr>
          <w:rFonts w:hint="eastAsia" w:ascii="仿宋_GB2312" w:hAnsi="仿宋_GB2312" w:cs="仿宋_GB2312"/>
          <w:color w:val="auto"/>
          <w:kern w:val="0"/>
          <w:sz w:val="32"/>
          <w:szCs w:val="32"/>
          <w:highlight w:val="none"/>
          <w:lang w:eastAsia="zh-CN"/>
        </w:rPr>
        <w:t>积极</w:t>
      </w:r>
      <w:r>
        <w:rPr>
          <w:rFonts w:hint="eastAsia" w:ascii="仿宋_GB2312" w:hAnsi="仿宋_GB2312" w:cs="仿宋_GB2312"/>
          <w:color w:val="auto"/>
          <w:kern w:val="0"/>
          <w:sz w:val="32"/>
          <w:szCs w:val="32"/>
          <w:highlight w:val="none"/>
        </w:rPr>
        <w:t>对接证券交易所，用好</w:t>
      </w:r>
      <w:r>
        <w:rPr>
          <w:rFonts w:hint="eastAsia" w:ascii="仿宋_GB2312" w:hAnsi="仿宋_GB2312" w:cs="仿宋_GB2312"/>
          <w:color w:val="auto"/>
          <w:kern w:val="0"/>
          <w:sz w:val="32"/>
          <w:szCs w:val="32"/>
          <w:highlight w:val="none"/>
          <w:lang w:eastAsia="zh-CN"/>
        </w:rPr>
        <w:t>北交所设立契机</w:t>
      </w:r>
      <w:r>
        <w:rPr>
          <w:rFonts w:hint="eastAsia" w:ascii="仿宋_GB2312" w:hAnsi="仿宋_GB2312" w:cs="仿宋_GB2312"/>
          <w:color w:val="auto"/>
          <w:kern w:val="0"/>
          <w:sz w:val="32"/>
          <w:szCs w:val="32"/>
          <w:highlight w:val="none"/>
        </w:rPr>
        <w:t>，优化资本市场链接功能。深化对龙头上市企业、重点产业实体、科创型企业的资本市场服务功能，有效聚拢上市挂牌企业资源。</w:t>
      </w:r>
    </w:p>
    <w:p>
      <w:pPr>
        <w:widowControl/>
        <w:wordWrap/>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cs="仿宋_GB2312"/>
          <w:color w:val="auto"/>
          <w:kern w:val="0"/>
          <w:sz w:val="32"/>
          <w:szCs w:val="32"/>
          <w:lang w:eastAsia="zh-CN"/>
        </w:rPr>
        <w:t>注重发挥产业金融中心优势</w:t>
      </w:r>
      <w:r>
        <w:rPr>
          <w:rFonts w:hint="eastAsia" w:ascii="仿宋_GB2312" w:hAnsi="仿宋_GB2312" w:cs="仿宋_GB2312"/>
          <w:color w:val="auto"/>
          <w:kern w:val="0"/>
          <w:sz w:val="32"/>
          <w:szCs w:val="32"/>
        </w:rPr>
        <w:t>。发挥顺义区产业金融发展优势，有效统筹科技金融、汽车金融、航空金融、会展金融和文旅金融资源，探索设立特色产业金融发展联盟</w:t>
      </w:r>
      <w:r>
        <w:rPr>
          <w:rFonts w:hint="eastAsia" w:ascii="仿宋_GB2312" w:hAnsi="仿宋_GB2312" w:cs="仿宋_GB2312"/>
          <w:color w:val="auto"/>
          <w:kern w:val="0"/>
          <w:sz w:val="32"/>
          <w:szCs w:val="32"/>
          <w:lang w:eastAsia="zh-CN"/>
        </w:rPr>
        <w:t>，</w:t>
      </w:r>
      <w:r>
        <w:rPr>
          <w:rFonts w:hint="eastAsia" w:ascii="仿宋_GB2312" w:hAnsi="仿宋_GB2312" w:cs="仿宋_GB2312"/>
          <w:color w:val="auto"/>
          <w:kern w:val="0"/>
          <w:sz w:val="32"/>
          <w:szCs w:val="32"/>
        </w:rPr>
        <w:t>探索建立顺义区金融</w:t>
      </w:r>
      <w:r>
        <w:rPr>
          <w:rFonts w:hint="eastAsia" w:ascii="仿宋_GB2312" w:hAnsi="仿宋_GB2312" w:cs="仿宋_GB2312"/>
          <w:color w:val="auto"/>
          <w:kern w:val="0"/>
          <w:sz w:val="32"/>
          <w:szCs w:val="32"/>
          <w:lang w:eastAsia="zh-CN"/>
        </w:rPr>
        <w:t>产业发展</w:t>
      </w:r>
      <w:r>
        <w:rPr>
          <w:rFonts w:hint="eastAsia" w:ascii="仿宋_GB2312" w:hAnsi="仿宋_GB2312" w:cs="仿宋_GB2312"/>
          <w:color w:val="auto"/>
          <w:kern w:val="0"/>
          <w:sz w:val="32"/>
          <w:szCs w:val="32"/>
        </w:rPr>
        <w:t>智库，</w:t>
      </w:r>
      <w:r>
        <w:rPr>
          <w:rFonts w:hint="eastAsia" w:ascii="仿宋_GB2312" w:hAnsi="仿宋_GB2312" w:eastAsia="仿宋_GB2312" w:cs="仿宋_GB2312"/>
          <w:color w:val="auto"/>
          <w:kern w:val="0"/>
          <w:sz w:val="32"/>
          <w:szCs w:val="32"/>
          <w:highlight w:val="none"/>
        </w:rPr>
        <w:t>立足重点产业价值链</w:t>
      </w:r>
      <w:r>
        <w:rPr>
          <w:rFonts w:hint="eastAsia" w:ascii="仿宋_GB2312" w:hAnsi="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构建核心企业与上下游企业一体化的供应链金融供给体系和系统化的金融解决方案。充分发挥政府在企业信用信息征集和政府信用增信的优势和功能，</w:t>
      </w:r>
      <w:r>
        <w:rPr>
          <w:rFonts w:hint="eastAsia" w:ascii="仿宋_GB2312" w:hAnsi="仿宋_GB2312" w:cs="仿宋_GB2312"/>
          <w:color w:val="auto"/>
          <w:kern w:val="0"/>
          <w:sz w:val="32"/>
          <w:szCs w:val="32"/>
          <w:highlight w:val="none"/>
          <w:lang w:eastAsia="zh-CN"/>
        </w:rPr>
        <w:t>探索</w:t>
      </w:r>
      <w:r>
        <w:rPr>
          <w:rFonts w:hint="eastAsia" w:ascii="仿宋_GB2312" w:hAnsi="仿宋_GB2312" w:eastAsia="仿宋_GB2312" w:cs="仿宋_GB2312"/>
          <w:color w:val="auto"/>
          <w:kern w:val="0"/>
          <w:sz w:val="32"/>
          <w:szCs w:val="32"/>
          <w:highlight w:val="none"/>
        </w:rPr>
        <w:t>构建政府+银行的弹性授信机制</w:t>
      </w:r>
      <w:r>
        <w:rPr>
          <w:rFonts w:hint="eastAsia" w:ascii="仿宋_GB2312" w:hAnsi="仿宋_GB2312" w:cs="仿宋_GB2312"/>
          <w:color w:val="auto"/>
          <w:kern w:val="0"/>
          <w:sz w:val="32"/>
          <w:szCs w:val="32"/>
          <w:highlight w:val="none"/>
          <w:lang w:eastAsia="zh-CN"/>
        </w:rPr>
        <w:t>，探索</w:t>
      </w:r>
      <w:r>
        <w:rPr>
          <w:rFonts w:hint="eastAsia" w:ascii="仿宋_GB2312" w:hAnsi="仿宋_GB2312" w:eastAsia="仿宋_GB2312" w:cs="仿宋_GB2312"/>
          <w:color w:val="auto"/>
          <w:kern w:val="0"/>
          <w:sz w:val="32"/>
          <w:szCs w:val="32"/>
          <w:highlight w:val="none"/>
        </w:rPr>
        <w:t>建立政府筛选、银行认定、保险嵌入和企业运作的供应链金融增信新模式。</w:t>
      </w:r>
    </w:p>
    <w:p>
      <w:pPr>
        <w:pStyle w:val="3"/>
        <w:wordWrap/>
        <w:adjustRightInd w:val="0"/>
        <w:snapToGrid w:val="0"/>
        <w:spacing w:before="0" w:after="0" w:line="560" w:lineRule="exact"/>
        <w:ind w:left="0" w:leftChars="0" w:right="0" w:firstLine="640" w:firstLineChars="200"/>
        <w:jc w:val="both"/>
        <w:textAlignment w:val="auto"/>
        <w:rPr>
          <w:b w:val="0"/>
          <w:bCs w:val="0"/>
          <w:color w:val="auto"/>
          <w:sz w:val="32"/>
          <w:szCs w:val="32"/>
        </w:rPr>
      </w:pPr>
      <w:bookmarkStart w:id="47" w:name="_Toc1569820590_WPSOffice_Level1"/>
      <w:bookmarkStart w:id="48" w:name="_Toc1834998956_WPSOffice_Level1"/>
      <w:r>
        <w:rPr>
          <w:rFonts w:hint="eastAsia"/>
          <w:b w:val="0"/>
          <w:bCs w:val="0"/>
          <w:color w:val="auto"/>
          <w:sz w:val="32"/>
          <w:szCs w:val="32"/>
        </w:rPr>
        <w:t>五、</w:t>
      </w:r>
      <w:bookmarkEnd w:id="47"/>
      <w:r>
        <w:rPr>
          <w:rFonts w:hint="eastAsia"/>
          <w:b w:val="0"/>
          <w:bCs w:val="0"/>
          <w:color w:val="auto"/>
          <w:sz w:val="32"/>
          <w:szCs w:val="32"/>
        </w:rPr>
        <w:t>“十四五”时期顺义区金融业发展的保障措施</w:t>
      </w:r>
      <w:bookmarkEnd w:id="48"/>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49" w:name="_Toc41044414"/>
      <w:bookmarkStart w:id="50" w:name="_Toc40364975"/>
      <w:bookmarkStart w:id="51" w:name="_Toc1493246646_WPSOffice_Level2"/>
      <w:bookmarkStart w:id="52" w:name="_Toc977546354_WPSOffice_Level2"/>
      <w:r>
        <w:rPr>
          <w:rFonts w:hint="eastAsia" w:ascii="楷体_GB2312" w:hAnsi="楷体_GB2312" w:eastAsia="楷体_GB2312" w:cs="楷体_GB2312"/>
          <w:color w:val="auto"/>
          <w:sz w:val="32"/>
          <w:szCs w:val="32"/>
        </w:rPr>
        <w:t>（一）强化组织领导</w:t>
      </w:r>
      <w:bookmarkEnd w:id="49"/>
      <w:bookmarkEnd w:id="50"/>
      <w:bookmarkEnd w:id="51"/>
      <w:bookmarkEnd w:id="52"/>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hint="eastAsia" w:ascii="仿宋_GB2312" w:hAnsi="仿宋_GB2312" w:cs="仿宋_GB2312"/>
          <w:color w:val="auto"/>
          <w:kern w:val="0"/>
          <w:sz w:val="32"/>
          <w:szCs w:val="32"/>
        </w:rPr>
        <w:t>强化组织建设，探索建立跨层级、跨部门的金融业高质量发展协同工作体系。</w:t>
      </w:r>
      <w:r>
        <w:rPr>
          <w:rFonts w:hint="eastAsia" w:ascii="仿宋_GB2312" w:hAnsi="仿宋_GB2312" w:cs="仿宋_GB2312"/>
          <w:color w:val="auto"/>
          <w:kern w:val="0"/>
          <w:sz w:val="32"/>
          <w:szCs w:val="32"/>
          <w:lang w:eastAsia="zh-CN"/>
        </w:rPr>
        <w:t>充分发挥区金融服务工作</w:t>
      </w:r>
      <w:r>
        <w:rPr>
          <w:rFonts w:hint="eastAsia" w:ascii="仿宋_GB2312" w:hAnsi="仿宋_GB2312" w:cs="仿宋_GB2312"/>
          <w:color w:val="auto"/>
          <w:kern w:val="0"/>
          <w:sz w:val="32"/>
          <w:szCs w:val="32"/>
          <w:lang w:val="en-US" w:eastAsia="zh-CN"/>
        </w:rPr>
        <w:t>领导小组职能作用，上下联动，部门协同</w:t>
      </w:r>
      <w:r>
        <w:rPr>
          <w:rFonts w:hint="eastAsia" w:ascii="仿宋_GB2312" w:hAnsi="仿宋_GB2312" w:cs="仿宋_GB2312"/>
          <w:color w:val="auto"/>
          <w:kern w:val="0"/>
          <w:sz w:val="32"/>
          <w:szCs w:val="32"/>
        </w:rPr>
        <w:t>，积极协调推进金融发展各项重点工作，着力提升首都产业金融中心发展水平，有效提高顺义区金融业发展质量。</w:t>
      </w:r>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53" w:name="_Toc1292595623_WPSOffice_Level2"/>
      <w:r>
        <w:rPr>
          <w:rFonts w:hint="eastAsia" w:ascii="楷体_GB2312" w:hAnsi="楷体_GB2312" w:eastAsia="楷体_GB2312" w:cs="楷体_GB2312"/>
          <w:color w:val="auto"/>
          <w:sz w:val="32"/>
          <w:szCs w:val="32"/>
        </w:rPr>
        <w:t>（二）确保落地实施</w:t>
      </w:r>
      <w:bookmarkEnd w:id="53"/>
    </w:p>
    <w:p>
      <w:pPr>
        <w:widowControl/>
        <w:wordWrap/>
        <w:adjustRightInd w:val="0"/>
        <w:snapToGrid w:val="0"/>
        <w:spacing w:line="560" w:lineRule="exact"/>
        <w:ind w:left="0" w:leftChars="0" w:right="0" w:firstLine="640" w:firstLineChars="200"/>
        <w:jc w:val="both"/>
        <w:textAlignment w:val="auto"/>
        <w:rPr>
          <w:rFonts w:ascii="仿宋_GB2312" w:hAnsi="仿宋_GB2312" w:cs="仿宋_GB2312"/>
          <w:color w:val="auto"/>
          <w:kern w:val="0"/>
          <w:sz w:val="32"/>
          <w:szCs w:val="32"/>
        </w:rPr>
      </w:pPr>
      <w:r>
        <w:rPr>
          <w:rFonts w:ascii="仿宋_GB2312" w:hAnsi="仿宋_GB2312" w:cs="仿宋_GB2312"/>
          <w:color w:val="auto"/>
          <w:kern w:val="0"/>
          <w:sz w:val="32"/>
          <w:szCs w:val="32"/>
        </w:rPr>
        <w:t>健全机制、统筹规划、分解任务、落实责任，细化</w:t>
      </w:r>
      <w:r>
        <w:rPr>
          <w:rFonts w:hint="eastAsia" w:ascii="仿宋_GB2312" w:hAnsi="仿宋_GB2312" w:cs="仿宋_GB2312"/>
          <w:color w:val="auto"/>
          <w:kern w:val="0"/>
          <w:sz w:val="32"/>
          <w:szCs w:val="32"/>
        </w:rPr>
        <w:t>“十四五”时期金融发展目标</w:t>
      </w:r>
      <w:r>
        <w:rPr>
          <w:rFonts w:ascii="仿宋_GB2312" w:hAnsi="仿宋_GB2312" w:cs="仿宋_GB2312"/>
          <w:color w:val="auto"/>
          <w:kern w:val="0"/>
          <w:sz w:val="32"/>
          <w:szCs w:val="32"/>
        </w:rPr>
        <w:t>，</w:t>
      </w:r>
      <w:r>
        <w:rPr>
          <w:rFonts w:hint="eastAsia" w:ascii="仿宋_GB2312" w:hAnsi="仿宋_GB2312" w:cs="仿宋_GB2312"/>
          <w:color w:val="auto"/>
          <w:kern w:val="0"/>
          <w:sz w:val="32"/>
          <w:szCs w:val="32"/>
          <w:lang w:eastAsia="zh-CN"/>
        </w:rPr>
        <w:t>细化明确</w:t>
      </w:r>
      <w:r>
        <w:rPr>
          <w:rFonts w:hint="eastAsia" w:ascii="仿宋_GB2312" w:hAnsi="仿宋_GB2312" w:cs="仿宋_GB2312"/>
          <w:color w:val="auto"/>
          <w:kern w:val="0"/>
          <w:sz w:val="32"/>
          <w:szCs w:val="32"/>
        </w:rPr>
        <w:t>金融业发展规划推进时间表和路线图，明确主要工作责任，落实重要任务负责人制度，全面有效推进发展规划落地实施。研判国家和北京市金融业发展重大战略、政策和举措，实行动态调整机制，着力研究解决规划执行中出现的新情况、新问题和新变化，切实提升规划可行性和可操作性。</w:t>
      </w:r>
    </w:p>
    <w:p>
      <w:pPr>
        <w:pStyle w:val="4"/>
        <w:wordWrap/>
        <w:adjustRightInd w:val="0"/>
        <w:snapToGrid w:val="0"/>
        <w:spacing w:before="0" w:after="0" w:line="560" w:lineRule="exact"/>
        <w:ind w:left="0" w:leftChars="0" w:right="0" w:firstLine="642" w:firstLineChars="200"/>
        <w:jc w:val="both"/>
        <w:textAlignment w:val="auto"/>
        <w:rPr>
          <w:rFonts w:hint="eastAsia" w:ascii="楷体_GB2312" w:hAnsi="楷体_GB2312" w:eastAsia="楷体_GB2312" w:cs="楷体_GB2312"/>
          <w:color w:val="auto"/>
          <w:sz w:val="32"/>
          <w:szCs w:val="32"/>
        </w:rPr>
      </w:pPr>
      <w:bookmarkStart w:id="54" w:name="_Toc710220059_WPSOffice_Level2"/>
      <w:r>
        <w:rPr>
          <w:rFonts w:hint="eastAsia" w:ascii="楷体_GB2312" w:hAnsi="楷体_GB2312" w:eastAsia="楷体_GB2312" w:cs="楷体_GB2312"/>
          <w:color w:val="auto"/>
          <w:sz w:val="32"/>
          <w:szCs w:val="32"/>
        </w:rPr>
        <w:t>（三）加强效果评估</w:t>
      </w:r>
      <w:bookmarkEnd w:id="54"/>
    </w:p>
    <w:p>
      <w:pPr>
        <w:widowControl/>
        <w:wordWrap/>
        <w:adjustRightInd w:val="0"/>
        <w:snapToGrid w:val="0"/>
        <w:spacing w:line="560" w:lineRule="exact"/>
        <w:ind w:left="0" w:leftChars="0" w:right="0" w:firstLine="640" w:firstLineChars="200"/>
        <w:jc w:val="both"/>
        <w:textAlignment w:val="auto"/>
        <w:rPr>
          <w:rFonts w:hint="eastAsia" w:ascii="仿宋_GB2312" w:hAnsi="仿宋_GB2312" w:cs="仿宋_GB2312"/>
          <w:color w:val="auto"/>
          <w:kern w:val="0"/>
          <w:sz w:val="32"/>
          <w:szCs w:val="32"/>
        </w:rPr>
      </w:pPr>
      <w:r>
        <w:rPr>
          <w:rFonts w:hint="eastAsia" w:ascii="仿宋_GB2312" w:hAnsi="仿宋_GB2312" w:cs="仿宋_GB2312"/>
          <w:color w:val="auto"/>
          <w:kern w:val="0"/>
          <w:sz w:val="32"/>
          <w:szCs w:val="32"/>
        </w:rPr>
        <w:t>加强对规划实施的全过程跟踪、动态监测、定期检查和动态评估，着重建立健全自我评估与自我调整机制。重点进行中期评估，深入总结发展经验、教训与挑战，着力提升规划引领功能。健全规划与实施信息公开机制，鼓励社会公众参与监督，</w:t>
      </w:r>
      <w:r>
        <w:rPr>
          <w:rFonts w:hint="eastAsia" w:ascii="仿宋_GB2312" w:hAnsi="仿宋_GB2312" w:cs="仿宋_GB2312"/>
          <w:color w:val="auto"/>
          <w:kern w:val="0"/>
          <w:sz w:val="32"/>
          <w:szCs w:val="32"/>
          <w:lang w:eastAsia="zh-CN"/>
        </w:rPr>
        <w:t>利用社会力量，共同推动规划落到实处</w:t>
      </w:r>
      <w:r>
        <w:rPr>
          <w:rFonts w:hint="eastAsia" w:ascii="仿宋_GB2312" w:hAnsi="仿宋_GB2312" w:cs="仿宋_GB2312"/>
          <w:color w:val="auto"/>
          <w:kern w:val="0"/>
          <w:sz w:val="32"/>
          <w:szCs w:val="32"/>
        </w:rPr>
        <w:t>。</w:t>
      </w:r>
    </w:p>
    <w:p>
      <w:pPr>
        <w:wordWrap/>
        <w:spacing w:line="560" w:lineRule="exact"/>
        <w:ind w:left="0" w:leftChars="0" w:right="0"/>
        <w:jc w:val="both"/>
        <w:textAlignment w:val="auto"/>
        <w:rPr>
          <w:rFonts w:hint="eastAsia"/>
          <w:color w:val="auto"/>
        </w:rPr>
      </w:pPr>
      <w:r>
        <w:rPr>
          <w:rFonts w:hint="eastAsia"/>
          <w:color w:val="auto"/>
        </w:rPr>
        <w:br w:type="page"/>
      </w:r>
    </w:p>
    <w:p>
      <w:pPr>
        <w:spacing w:before="100" w:beforeAutospacing="1" w:after="100" w:afterAutospacing="1" w:line="360" w:lineRule="auto"/>
        <w:rPr>
          <w:rFonts w:hint="eastAsia" w:ascii="仿宋" w:hAnsi="仿宋" w:eastAsia="仿宋" w:cs="华文楷体"/>
          <w:b/>
          <w:bCs/>
          <w:color w:val="auto"/>
          <w:sz w:val="28"/>
          <w:szCs w:val="28"/>
        </w:rPr>
      </w:pPr>
      <w:r>
        <w:rPr>
          <w:rFonts w:hint="eastAsia" w:ascii="黑体" w:hAnsi="黑体" w:eastAsia="黑体" w:cs="黑体"/>
          <w:b w:val="0"/>
          <w:bCs w:val="0"/>
          <w:color w:val="auto"/>
          <w:sz w:val="32"/>
          <w:szCs w:val="32"/>
        </w:rPr>
        <w:t>附件：</w:t>
      </w:r>
      <w:r>
        <w:rPr>
          <w:rFonts w:hint="eastAsia" w:ascii="仿宋" w:hAnsi="仿宋" w:eastAsia="仿宋" w:cs="华文楷体"/>
          <w:b/>
          <w:bCs/>
          <w:color w:val="auto"/>
          <w:sz w:val="28"/>
          <w:szCs w:val="28"/>
        </w:rPr>
        <w:t xml:space="preserve"> </w:t>
      </w:r>
    </w:p>
    <w:p>
      <w:pPr>
        <w:widowControl w:val="0"/>
        <w:wordWrap/>
        <w:adjustRightInd/>
        <w:snapToGrid/>
        <w:spacing w:beforeAutospacing="0" w:afterAutospacing="0" w:line="560" w:lineRule="exact"/>
        <w:jc w:val="center"/>
        <w:textAlignment w:val="auto"/>
        <w:rPr>
          <w:color w:val="auto"/>
          <w:sz w:val="32"/>
          <w:szCs w:val="32"/>
        </w:rPr>
      </w:pPr>
      <w:bookmarkStart w:id="55" w:name="_Toc1514239539_WPSOffice_Level1"/>
      <w:r>
        <w:rPr>
          <w:rFonts w:hint="eastAsia" w:ascii="仿宋" w:hAnsi="仿宋" w:eastAsia="仿宋" w:cs="华文楷体"/>
          <w:b/>
          <w:bCs/>
          <w:color w:val="auto"/>
          <w:sz w:val="32"/>
          <w:szCs w:val="32"/>
        </w:rPr>
        <w:t>顺义区“十四五”时期金融业发展规划重点</w:t>
      </w:r>
      <w:r>
        <w:rPr>
          <w:rFonts w:hint="eastAsia" w:ascii="仿宋" w:hAnsi="仿宋" w:eastAsia="仿宋" w:cs="华文楷体"/>
          <w:b/>
          <w:bCs/>
          <w:color w:val="auto"/>
          <w:sz w:val="32"/>
          <w:szCs w:val="32"/>
          <w:lang w:eastAsia="zh-CN"/>
        </w:rPr>
        <w:t>任务</w:t>
      </w:r>
      <w:r>
        <w:rPr>
          <w:rFonts w:hint="eastAsia" w:ascii="仿宋" w:hAnsi="仿宋" w:eastAsia="仿宋" w:cs="华文楷体"/>
          <w:b/>
          <w:bCs/>
          <w:color w:val="auto"/>
          <w:sz w:val="32"/>
          <w:szCs w:val="32"/>
        </w:rPr>
        <w:t>清单</w:t>
      </w:r>
      <w:bookmarkEnd w:id="55"/>
    </w:p>
    <w:tbl>
      <w:tblPr>
        <w:tblStyle w:val="18"/>
        <w:tblpPr w:leftFromText="180" w:rightFromText="180" w:vertAnchor="text" w:horzAnchor="page" w:tblpX="1805" w:tblpY="90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91"/>
        <w:gridCol w:w="529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top"/>
          </w:tcPr>
          <w:p>
            <w:pPr>
              <w:spacing w:before="100" w:beforeAutospacing="1" w:after="100" w:afterAutospacing="1" w:line="360" w:lineRule="auto"/>
              <w:rPr>
                <w:rFonts w:ascii="仿宋" w:hAnsi="仿宋" w:eastAsia="仿宋" w:cs="华文楷体"/>
                <w:b/>
                <w:bCs/>
                <w:color w:val="auto"/>
                <w:kern w:val="0"/>
                <w:sz w:val="24"/>
              </w:rPr>
            </w:pPr>
            <w:r>
              <w:rPr>
                <w:rFonts w:hint="eastAsia" w:ascii="仿宋" w:hAnsi="仿宋" w:eastAsia="仿宋" w:cs="华文楷体"/>
                <w:b/>
                <w:bCs/>
                <w:color w:val="auto"/>
                <w:kern w:val="0"/>
                <w:sz w:val="24"/>
              </w:rPr>
              <w:t>序号</w:t>
            </w:r>
          </w:p>
        </w:tc>
        <w:tc>
          <w:tcPr>
            <w:tcW w:w="1791"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r>
              <w:rPr>
                <w:rFonts w:hint="eastAsia" w:ascii="仿宋" w:hAnsi="仿宋" w:eastAsia="仿宋" w:cs="华文楷体"/>
                <w:b/>
                <w:bCs/>
                <w:color w:val="auto"/>
                <w:kern w:val="0"/>
                <w:sz w:val="24"/>
              </w:rPr>
              <w:t>任务名称</w:t>
            </w:r>
          </w:p>
        </w:tc>
        <w:tc>
          <w:tcPr>
            <w:tcW w:w="5297"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r>
              <w:rPr>
                <w:rFonts w:hint="eastAsia" w:ascii="仿宋" w:hAnsi="仿宋" w:eastAsia="仿宋" w:cs="华文楷体"/>
                <w:b/>
                <w:bCs/>
                <w:color w:val="auto"/>
                <w:kern w:val="0"/>
                <w:sz w:val="24"/>
              </w:rPr>
              <w:t>任务内容</w:t>
            </w:r>
          </w:p>
        </w:tc>
        <w:tc>
          <w:tcPr>
            <w:tcW w:w="708" w:type="dxa"/>
            <w:vAlign w:val="top"/>
          </w:tcPr>
          <w:p>
            <w:pPr>
              <w:spacing w:before="100" w:beforeAutospacing="1" w:after="100" w:afterAutospacing="1" w:line="360" w:lineRule="auto"/>
              <w:rPr>
                <w:rFonts w:ascii="仿宋" w:hAnsi="仿宋" w:eastAsia="仿宋" w:cs="华文楷体"/>
                <w:b/>
                <w:bCs/>
                <w:color w:val="auto"/>
                <w:kern w:val="0"/>
                <w:sz w:val="24"/>
              </w:rPr>
            </w:pPr>
            <w:r>
              <w:rPr>
                <w:rFonts w:hint="eastAsia" w:ascii="仿宋" w:hAnsi="仿宋" w:eastAsia="仿宋" w:cs="华文楷体"/>
                <w:b/>
                <w:bCs/>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ascii="仿宋" w:hAnsi="仿宋" w:eastAsia="仿宋" w:cs="华文楷体"/>
                <w:b/>
                <w:bCs/>
                <w:color w:val="auto"/>
                <w:kern w:val="0"/>
                <w:sz w:val="24"/>
              </w:rPr>
            </w:pPr>
            <w:r>
              <w:rPr>
                <w:rFonts w:hint="eastAsia" w:ascii="仿宋" w:hAnsi="仿宋" w:eastAsia="仿宋" w:cs="华文楷体"/>
                <w:b/>
                <w:bCs/>
                <w:color w:val="auto"/>
                <w:kern w:val="0"/>
                <w:sz w:val="24"/>
              </w:rPr>
              <w:t>1</w:t>
            </w:r>
          </w:p>
        </w:tc>
        <w:tc>
          <w:tcPr>
            <w:tcW w:w="1791" w:type="dxa"/>
            <w:vAlign w:val="top"/>
          </w:tcPr>
          <w:p>
            <w:pPr>
              <w:spacing w:before="100" w:beforeAutospacing="1" w:after="100" w:afterAutospacing="1" w:line="360" w:lineRule="auto"/>
              <w:rPr>
                <w:rFonts w:ascii="仿宋" w:hAnsi="仿宋" w:eastAsia="仿宋"/>
                <w:b/>
                <w:color w:val="auto"/>
                <w:kern w:val="0"/>
                <w:sz w:val="24"/>
              </w:rPr>
            </w:pPr>
            <w:r>
              <w:rPr>
                <w:rFonts w:hint="eastAsia" w:ascii="仿宋" w:hAnsi="仿宋" w:eastAsia="仿宋"/>
                <w:b/>
                <w:color w:val="auto"/>
                <w:kern w:val="0"/>
                <w:sz w:val="24"/>
                <w:lang w:eastAsia="zh-CN"/>
              </w:rPr>
              <w:t>夯实金融作为第三支柱产业发展基础</w:t>
            </w:r>
          </w:p>
        </w:tc>
        <w:tc>
          <w:tcPr>
            <w:tcW w:w="5297" w:type="dxa"/>
            <w:vAlign w:val="top"/>
          </w:tcPr>
          <w:p>
            <w:pPr>
              <w:spacing w:before="100" w:beforeAutospacing="1" w:after="100" w:afterAutospacing="1" w:line="360" w:lineRule="auto"/>
              <w:ind w:firstLine="480"/>
              <w:rPr>
                <w:rFonts w:ascii="仿宋" w:hAnsi="仿宋" w:eastAsia="仿宋"/>
                <w:color w:val="auto"/>
                <w:kern w:val="0"/>
                <w:sz w:val="24"/>
              </w:rPr>
            </w:pPr>
            <w:r>
              <w:rPr>
                <w:rFonts w:hint="eastAsia" w:ascii="仿宋" w:hAnsi="仿宋" w:eastAsia="仿宋"/>
                <w:color w:val="auto"/>
                <w:kern w:val="0"/>
                <w:sz w:val="24"/>
                <w:lang w:eastAsia="zh-CN"/>
              </w:rPr>
              <w:t>进一步</w:t>
            </w:r>
            <w:r>
              <w:rPr>
                <w:rFonts w:hint="eastAsia" w:ascii="仿宋" w:hAnsi="仿宋" w:eastAsia="仿宋"/>
                <w:color w:val="auto"/>
                <w:kern w:val="0"/>
                <w:sz w:val="24"/>
              </w:rPr>
              <w:t>完善要素供给，健全政策和服务保障体系，为重磅项目落地、产融深度协同、企业上市提速，构建一个更趋完备、持续向好的区域金融发展环境。到2025年末，顺义区金融机构新增达到</w:t>
            </w:r>
            <w:r>
              <w:rPr>
                <w:rFonts w:hint="eastAsia" w:ascii="仿宋" w:hAnsi="仿宋" w:eastAsia="仿宋"/>
                <w:color w:val="auto"/>
                <w:kern w:val="0"/>
                <w:sz w:val="24"/>
                <w:lang w:val="en-US" w:eastAsia="zh-CN"/>
              </w:rPr>
              <w:t>120</w:t>
            </w:r>
            <w:r>
              <w:rPr>
                <w:rFonts w:hint="eastAsia" w:ascii="仿宋" w:hAnsi="仿宋" w:eastAsia="仿宋"/>
                <w:color w:val="auto"/>
                <w:kern w:val="0"/>
                <w:sz w:val="24"/>
              </w:rPr>
              <w:t>家，上市挂牌企业新增达到</w:t>
            </w:r>
            <w:r>
              <w:rPr>
                <w:rFonts w:hint="eastAsia" w:ascii="仿宋" w:hAnsi="仿宋" w:eastAsia="仿宋"/>
                <w:color w:val="auto"/>
                <w:kern w:val="0"/>
                <w:sz w:val="24"/>
                <w:lang w:val="en-US" w:eastAsia="zh-CN"/>
              </w:rPr>
              <w:t>50</w:t>
            </w:r>
            <w:r>
              <w:rPr>
                <w:rFonts w:hint="eastAsia" w:ascii="仿宋" w:hAnsi="仿宋" w:eastAsia="仿宋"/>
                <w:color w:val="auto"/>
                <w:kern w:val="0"/>
                <w:sz w:val="24"/>
              </w:rPr>
              <w:t>家，金融业增加值占全区生产总值比重</w:t>
            </w:r>
            <w:r>
              <w:rPr>
                <w:rFonts w:ascii="仿宋" w:hAnsi="仿宋" w:eastAsia="仿宋"/>
                <w:color w:val="auto"/>
                <w:kern w:val="0"/>
                <w:sz w:val="24"/>
              </w:rPr>
              <w:t>约</w:t>
            </w:r>
            <w:r>
              <w:rPr>
                <w:rFonts w:hint="eastAsia" w:ascii="仿宋" w:hAnsi="仿宋" w:eastAsia="仿宋"/>
                <w:color w:val="auto"/>
                <w:kern w:val="0"/>
                <w:sz w:val="24"/>
              </w:rPr>
              <w:t>1</w:t>
            </w:r>
            <w:r>
              <w:rPr>
                <w:rFonts w:hint="eastAsia" w:ascii="仿宋" w:hAnsi="仿宋" w:eastAsia="仿宋"/>
                <w:color w:val="auto"/>
                <w:kern w:val="0"/>
                <w:sz w:val="24"/>
                <w:lang w:val="en-US" w:eastAsia="zh-CN"/>
              </w:rPr>
              <w:t>6</w:t>
            </w:r>
            <w:r>
              <w:rPr>
                <w:rFonts w:hint="eastAsia" w:ascii="仿宋" w:hAnsi="仿宋" w:eastAsia="仿宋"/>
                <w:color w:val="auto"/>
                <w:kern w:val="0"/>
                <w:sz w:val="24"/>
              </w:rPr>
              <w:t>%。</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eastAsia"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2</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加快建设三大金融发展平台</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进一步加快推进“后沙峪金融商务区、马坡金融城、空港融资租赁产业园”三大金融发展平台建设，主动承接非首都功能疏解金融要素，持续完善功能配套和服务环境，引导优质金融机构实地入驻办公</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firstLineChars="0"/>
              <w:rPr>
                <w:rFonts w:ascii="仿宋" w:hAnsi="仿宋" w:eastAsia="仿宋" w:cs="华文楷体"/>
                <w:b/>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eastAsia"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3</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大力发展聚集产业基金</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充分发挥母基金在重要产业领域的引导优化功能，支持新能源、半导体、航空航天、新材料、医药生物等高精尖产业相匹配的产业基金入区发展，形成“产业基金+产业集群+产业智造”的发展新范式。</w:t>
            </w:r>
          </w:p>
        </w:tc>
        <w:tc>
          <w:tcPr>
            <w:tcW w:w="708" w:type="dxa"/>
            <w:vAlign w:val="top"/>
          </w:tcPr>
          <w:p>
            <w:pPr>
              <w:spacing w:before="100" w:beforeAutospacing="1" w:after="100" w:afterAutospacing="1" w:line="360" w:lineRule="auto"/>
              <w:ind w:firstLine="482" w:firstLineChars="0"/>
              <w:rPr>
                <w:rFonts w:ascii="仿宋" w:hAnsi="仿宋" w:eastAsia="仿宋" w:cs="华文楷体"/>
                <w:b/>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eastAsia"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4</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val="en-US" w:eastAsia="zh-CN"/>
              </w:rPr>
              <w:t>着力拓展金融产业发展新业态</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吸引理财公司、期货公司、公募基金、私募证券基金新兴金融业态落户发展，形成传统与新兴的优势互补，提高行业发展韧性。</w:t>
            </w:r>
          </w:p>
        </w:tc>
        <w:tc>
          <w:tcPr>
            <w:tcW w:w="708" w:type="dxa"/>
            <w:vAlign w:val="top"/>
          </w:tcPr>
          <w:p>
            <w:pPr>
              <w:spacing w:before="100" w:beforeAutospacing="1" w:after="100" w:afterAutospacing="1" w:line="360" w:lineRule="auto"/>
              <w:ind w:firstLine="482" w:firstLineChars="0"/>
              <w:rPr>
                <w:rFonts w:hint="default" w:ascii="仿宋" w:hAnsi="仿宋" w:eastAsia="仿宋" w:cs="华文楷体"/>
                <w:b/>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szCs w:val="24"/>
                <w:lang w:val="en-US" w:eastAsia="zh-CN" w:bidi="ar-SA"/>
              </w:rPr>
              <w:t>5</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加强招商推广力度</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lang w:eastAsia="zh-CN"/>
              </w:rPr>
              <w:t>持续坚持招大引强，</w:t>
            </w:r>
            <w:r>
              <w:rPr>
                <w:rFonts w:hint="eastAsia" w:ascii="仿宋" w:hAnsi="仿宋" w:eastAsia="仿宋"/>
                <w:color w:val="auto"/>
                <w:kern w:val="0"/>
                <w:sz w:val="24"/>
              </w:rPr>
              <w:t>重点引进金融集团总部型、经营性和高端化法人金融机构，提升入驻机构法人等级；重点引进资产管理机构和财富管理机构，争取全国性大中型保险资产管理公司落户顺义</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firstLineChars="0"/>
              <w:rPr>
                <w:rFonts w:ascii="仿宋" w:hAnsi="仿宋" w:eastAsia="仿宋" w:cs="华文楷体"/>
                <w:b/>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eastAsia"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6</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探索发展金融科技</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重点支持金融科技企业和专业服务机构落户顺义，重点引入大型金融机构科技总部或金融科技公司、大型互联网平台及其下属机构、从事金融科技研发应用的科技企业。</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eastAsia"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7</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持续擦亮首都产业金融中心品牌</w:t>
            </w:r>
          </w:p>
        </w:tc>
        <w:tc>
          <w:tcPr>
            <w:tcW w:w="5297" w:type="dxa"/>
            <w:vAlign w:val="top"/>
          </w:tcPr>
          <w:p>
            <w:pPr>
              <w:spacing w:before="100" w:beforeAutospacing="1" w:after="100" w:afterAutospacing="1" w:line="360" w:lineRule="auto"/>
              <w:ind w:firstLine="480" w:firstLineChars="20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充分利用服贸会等国际性大型展会、“全球PE论坛”、“中国资本市场峰会”等行业年度论坛，营造浓厚发展氛围。积极发挥新媒体传播渠道作用，宣传顺义金融产业发展成果，扩大顺义金融品牌影响力</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firstLineChars="0"/>
              <w:rPr>
                <w:rFonts w:ascii="仿宋" w:hAnsi="仿宋" w:eastAsia="仿宋" w:cs="华文楷体"/>
                <w:b/>
                <w:bCs/>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eastAsia"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8</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贯彻落实处非条例</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持续抓好</w:t>
            </w:r>
            <w:r>
              <w:rPr>
                <w:rFonts w:hint="eastAsia" w:ascii="仿宋" w:hAnsi="仿宋" w:eastAsia="仿宋"/>
                <w:color w:val="auto"/>
                <w:kern w:val="0"/>
                <w:sz w:val="24"/>
                <w:lang w:eastAsia="zh-CN"/>
              </w:rPr>
              <w:t>《</w:t>
            </w:r>
            <w:r>
              <w:rPr>
                <w:rFonts w:hint="eastAsia" w:ascii="仿宋" w:hAnsi="仿宋" w:eastAsia="仿宋"/>
                <w:color w:val="auto"/>
                <w:kern w:val="0"/>
                <w:sz w:val="24"/>
              </w:rPr>
              <w:t>防范和处置非法集资条例</w:t>
            </w:r>
            <w:r>
              <w:rPr>
                <w:rFonts w:hint="eastAsia" w:ascii="仿宋" w:hAnsi="仿宋" w:eastAsia="仿宋"/>
                <w:color w:val="auto"/>
                <w:kern w:val="0"/>
                <w:sz w:val="24"/>
                <w:lang w:eastAsia="zh-CN"/>
              </w:rPr>
              <w:t>》</w:t>
            </w:r>
            <w:r>
              <w:rPr>
                <w:rFonts w:hint="eastAsia" w:ascii="仿宋" w:hAnsi="仿宋" w:eastAsia="仿宋"/>
                <w:color w:val="auto"/>
                <w:kern w:val="0"/>
                <w:sz w:val="24"/>
              </w:rPr>
              <w:t>的贯彻实施，严厉打击各类非法金融活动，有序防范化解重点领域风险</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szCs w:val="24"/>
                <w:lang w:val="en-US" w:eastAsia="zh-CN" w:bidi="ar-SA"/>
              </w:rPr>
              <w:t>9</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健全风险防范化解机制</w:t>
            </w:r>
          </w:p>
        </w:tc>
        <w:tc>
          <w:tcPr>
            <w:tcW w:w="5297" w:type="dxa"/>
            <w:vAlign w:val="top"/>
          </w:tcPr>
          <w:p>
            <w:pPr>
              <w:spacing w:before="100" w:beforeAutospacing="1" w:after="100" w:afterAutospacing="1" w:line="360" w:lineRule="auto"/>
              <w:ind w:firstLine="48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lang w:val="en-US" w:eastAsia="zh-CN"/>
              </w:rPr>
              <w:t>严格落实好“五位一体”风险防范化解机制，织密各部门共同参与风险排查防范网络，</w:t>
            </w:r>
            <w:r>
              <w:rPr>
                <w:rFonts w:hint="eastAsia" w:ascii="仿宋" w:hAnsi="仿宋" w:eastAsia="仿宋"/>
                <w:color w:val="auto"/>
                <w:kern w:val="0"/>
                <w:sz w:val="24"/>
              </w:rPr>
              <w:t>采取多种方式</w:t>
            </w:r>
            <w:r>
              <w:rPr>
                <w:rFonts w:hint="eastAsia" w:ascii="仿宋" w:hAnsi="仿宋" w:eastAsia="仿宋"/>
                <w:color w:val="auto"/>
                <w:kern w:val="0"/>
                <w:sz w:val="24"/>
                <w:lang w:val="en-US" w:eastAsia="zh-CN"/>
              </w:rPr>
              <w:t>加强日常风险排查，及时发现金融风险防范化解的苗头性问题，及时组织研判会商，采取有效措施坚决防止风险扩大扩散。</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10</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提升金融风险防范化解科技化水平</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充分运用互联网、大数据、人工智能等技术，有序甄别高风险、异常和涉众等交易行为，构筑现代化风险防范预警平台</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11</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val="en-US" w:eastAsia="zh-CN"/>
              </w:rPr>
              <w:t>提升群众金融风险防范意识</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持续加大金融风险</w:t>
            </w:r>
            <w:r>
              <w:rPr>
                <w:rFonts w:hint="eastAsia" w:ascii="仿宋" w:hAnsi="仿宋" w:eastAsia="仿宋"/>
                <w:color w:val="auto"/>
                <w:kern w:val="0"/>
                <w:sz w:val="24"/>
                <w:lang w:eastAsia="zh-CN"/>
              </w:rPr>
              <w:t>知识</w:t>
            </w:r>
            <w:r>
              <w:rPr>
                <w:rFonts w:hint="eastAsia" w:ascii="仿宋" w:hAnsi="仿宋" w:eastAsia="仿宋"/>
                <w:color w:val="auto"/>
                <w:kern w:val="0"/>
                <w:sz w:val="24"/>
              </w:rPr>
              <w:t>的宣传普及力度，全面提升群众金融安全意识</w:t>
            </w:r>
            <w:r>
              <w:rPr>
                <w:rFonts w:hint="eastAsia" w:ascii="仿宋" w:hAnsi="仿宋" w:eastAsia="仿宋"/>
                <w:color w:val="auto"/>
                <w:kern w:val="0"/>
                <w:sz w:val="24"/>
                <w:lang w:eastAsia="zh-CN"/>
              </w:rPr>
              <w:t>；</w:t>
            </w:r>
            <w:r>
              <w:rPr>
                <w:rFonts w:hint="eastAsia" w:ascii="仿宋" w:hAnsi="仿宋" w:eastAsia="仿宋"/>
                <w:color w:val="auto"/>
                <w:kern w:val="0"/>
                <w:sz w:val="24"/>
              </w:rPr>
              <w:t>组织协调机关属地及部门</w:t>
            </w:r>
            <w:r>
              <w:rPr>
                <w:rFonts w:hint="eastAsia" w:ascii="仿宋" w:hAnsi="仿宋" w:eastAsia="仿宋"/>
                <w:color w:val="auto"/>
                <w:kern w:val="0"/>
                <w:sz w:val="24"/>
                <w:lang w:eastAsia="zh-CN"/>
              </w:rPr>
              <w:t>，</w:t>
            </w:r>
            <w:r>
              <w:rPr>
                <w:rFonts w:hint="eastAsia" w:ascii="仿宋" w:hAnsi="仿宋" w:eastAsia="仿宋"/>
                <w:color w:val="auto"/>
                <w:kern w:val="0"/>
                <w:sz w:val="24"/>
                <w:lang w:val="en-US" w:eastAsia="zh-CN"/>
              </w:rPr>
              <w:t xml:space="preserve"> 采取多种方式，</w:t>
            </w:r>
            <w:r>
              <w:rPr>
                <w:rFonts w:hint="eastAsia" w:ascii="仿宋" w:hAnsi="仿宋" w:eastAsia="仿宋"/>
                <w:color w:val="auto"/>
                <w:kern w:val="0"/>
                <w:sz w:val="24"/>
              </w:rPr>
              <w:t>建立健全金融风险群防群控、人人有责的防范化解工作机制</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lang w:val="en-US" w:eastAsia="zh-CN"/>
              </w:rPr>
            </w:pPr>
            <w:r>
              <w:rPr>
                <w:rFonts w:hint="eastAsia" w:ascii="仿宋" w:hAnsi="仿宋" w:eastAsia="仿宋" w:cs="华文楷体"/>
                <w:b/>
                <w:bCs/>
                <w:color w:val="auto"/>
                <w:kern w:val="0"/>
                <w:sz w:val="24"/>
                <w:lang w:val="en-US" w:eastAsia="zh-CN"/>
              </w:rPr>
              <w:t>12</w:t>
            </w:r>
          </w:p>
        </w:tc>
        <w:tc>
          <w:tcPr>
            <w:tcW w:w="1791" w:type="dxa"/>
            <w:vAlign w:val="top"/>
          </w:tcPr>
          <w:p>
            <w:pPr>
              <w:spacing w:before="100" w:beforeAutospacing="1" w:after="100" w:afterAutospacing="1" w:line="360" w:lineRule="auto"/>
              <w:rPr>
                <w:rFonts w:hint="eastAsia" w:ascii="仿宋" w:hAnsi="仿宋" w:eastAsia="仿宋"/>
                <w:b/>
                <w:color w:val="auto"/>
                <w:kern w:val="0"/>
                <w:sz w:val="24"/>
                <w:lang w:eastAsia="zh-CN"/>
              </w:rPr>
            </w:pPr>
            <w:r>
              <w:rPr>
                <w:rFonts w:hint="eastAsia" w:ascii="仿宋" w:hAnsi="仿宋" w:eastAsia="仿宋"/>
                <w:b/>
                <w:color w:val="auto"/>
                <w:kern w:val="0"/>
                <w:sz w:val="24"/>
                <w:lang w:eastAsia="zh-CN"/>
              </w:rPr>
              <w:t>不断优化金融供给体系</w:t>
            </w:r>
          </w:p>
        </w:tc>
        <w:tc>
          <w:tcPr>
            <w:tcW w:w="5297" w:type="dxa"/>
            <w:vAlign w:val="top"/>
          </w:tcPr>
          <w:p>
            <w:pPr>
              <w:spacing w:before="100" w:beforeAutospacing="1" w:after="100" w:afterAutospacing="1" w:line="360" w:lineRule="auto"/>
              <w:ind w:firstLine="480"/>
              <w:rPr>
                <w:rFonts w:hint="eastAsia" w:ascii="仿宋" w:hAnsi="仿宋" w:eastAsia="仿宋"/>
                <w:color w:val="auto"/>
                <w:kern w:val="0"/>
                <w:sz w:val="24"/>
              </w:rPr>
            </w:pPr>
            <w:r>
              <w:rPr>
                <w:rFonts w:hint="eastAsia" w:ascii="仿宋" w:hAnsi="仿宋" w:eastAsia="仿宋"/>
                <w:color w:val="auto"/>
                <w:kern w:val="0"/>
                <w:sz w:val="24"/>
              </w:rPr>
              <w:t>统筹银行、证券、保险、基金、融资租赁、商业保理和金融中介服务机构等多方力量，不断优化金融供给体系，为区内企业和产业提供综合化金融服务，形成金融业与其他支柱产业协同发展新局面。</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13</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深入产融互促，打造“顺易投融”品牌</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rPr>
              <w:t>深挖区内重点企业、重大项目、储备库企业等实体产业的金融需求，充分发挥</w:t>
            </w:r>
            <w:r>
              <w:rPr>
                <w:rFonts w:hint="eastAsia" w:ascii="仿宋" w:hAnsi="仿宋" w:eastAsia="仿宋"/>
                <w:color w:val="auto"/>
                <w:kern w:val="0"/>
                <w:sz w:val="24"/>
                <w:lang w:eastAsia="zh-CN"/>
              </w:rPr>
              <w:t>区内</w:t>
            </w:r>
            <w:r>
              <w:rPr>
                <w:rFonts w:hint="eastAsia" w:ascii="仿宋" w:hAnsi="仿宋" w:eastAsia="仿宋"/>
                <w:color w:val="auto"/>
                <w:kern w:val="0"/>
                <w:sz w:val="24"/>
              </w:rPr>
              <w:t>金融机构集聚优势，动态协调金融机构服务供给，持续做强“顺易投融”品牌</w:t>
            </w:r>
            <w:r>
              <w:rPr>
                <w:rFonts w:hint="eastAsia" w:ascii="仿宋" w:hAnsi="仿宋" w:eastAsia="仿宋"/>
                <w:color w:val="auto"/>
                <w:kern w:val="0"/>
                <w:sz w:val="24"/>
                <w:lang w:eastAsia="zh-CN"/>
              </w:rPr>
              <w:t>。</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lang w:val="en-US" w:eastAsia="zh-CN"/>
              </w:rPr>
            </w:pPr>
            <w:r>
              <w:rPr>
                <w:rFonts w:hint="eastAsia" w:ascii="仿宋" w:hAnsi="仿宋" w:eastAsia="仿宋" w:cs="华文楷体"/>
                <w:b/>
                <w:bCs/>
                <w:color w:val="auto"/>
                <w:kern w:val="0"/>
                <w:sz w:val="24"/>
                <w:lang w:val="en-US" w:eastAsia="zh-CN"/>
              </w:rPr>
              <w:t>14</w:t>
            </w:r>
          </w:p>
        </w:tc>
        <w:tc>
          <w:tcPr>
            <w:tcW w:w="1791" w:type="dxa"/>
            <w:vAlign w:val="top"/>
          </w:tcPr>
          <w:p>
            <w:pPr>
              <w:spacing w:before="100" w:beforeAutospacing="1" w:after="100" w:afterAutospacing="1" w:line="360" w:lineRule="auto"/>
              <w:rPr>
                <w:rFonts w:hint="eastAsia" w:ascii="仿宋" w:hAnsi="仿宋" w:eastAsia="仿宋"/>
                <w:b/>
                <w:color w:val="auto"/>
                <w:kern w:val="0"/>
                <w:sz w:val="24"/>
                <w:lang w:eastAsia="zh-CN"/>
              </w:rPr>
            </w:pPr>
            <w:r>
              <w:rPr>
                <w:rFonts w:hint="eastAsia" w:ascii="仿宋" w:hAnsi="仿宋" w:eastAsia="仿宋"/>
                <w:b/>
                <w:color w:val="auto"/>
                <w:kern w:val="0"/>
                <w:sz w:val="24"/>
                <w:lang w:eastAsia="zh-CN"/>
              </w:rPr>
              <w:t>加速推进上市挂牌企业总部基地建设</w:t>
            </w:r>
          </w:p>
        </w:tc>
        <w:tc>
          <w:tcPr>
            <w:tcW w:w="5297" w:type="dxa"/>
            <w:vAlign w:val="top"/>
          </w:tcPr>
          <w:p>
            <w:pPr>
              <w:spacing w:before="100" w:beforeAutospacing="1" w:after="100" w:afterAutospacing="1" w:line="360" w:lineRule="auto"/>
              <w:ind w:firstLine="480"/>
              <w:rPr>
                <w:rFonts w:hint="eastAsia" w:ascii="仿宋" w:hAnsi="仿宋" w:eastAsia="仿宋"/>
                <w:color w:val="auto"/>
                <w:kern w:val="0"/>
                <w:sz w:val="24"/>
              </w:rPr>
            </w:pPr>
            <w:r>
              <w:rPr>
                <w:rFonts w:hint="eastAsia" w:ascii="仿宋" w:hAnsi="仿宋" w:eastAsia="仿宋"/>
                <w:color w:val="auto"/>
                <w:kern w:val="0"/>
                <w:sz w:val="24"/>
              </w:rPr>
              <w:t>借力资本市场有效服务科技型、创新型和创业型企业</w:t>
            </w:r>
            <w:r>
              <w:rPr>
                <w:rFonts w:hint="eastAsia" w:ascii="仿宋" w:hAnsi="仿宋" w:eastAsia="仿宋"/>
                <w:color w:val="auto"/>
                <w:kern w:val="0"/>
                <w:sz w:val="24"/>
                <w:lang w:eastAsia="zh-CN"/>
              </w:rPr>
              <w:t>。</w:t>
            </w:r>
            <w:r>
              <w:rPr>
                <w:rFonts w:hint="eastAsia" w:ascii="仿宋" w:hAnsi="仿宋" w:eastAsia="仿宋"/>
                <w:color w:val="auto"/>
                <w:kern w:val="0"/>
                <w:sz w:val="24"/>
              </w:rPr>
              <w:t>优化升级顺义区上市培育企业资源库，形成上市储备资源。用好</w:t>
            </w:r>
            <w:r>
              <w:rPr>
                <w:rFonts w:hint="eastAsia" w:ascii="仿宋" w:hAnsi="仿宋" w:eastAsia="仿宋"/>
                <w:color w:val="auto"/>
                <w:kern w:val="0"/>
                <w:sz w:val="24"/>
                <w:lang w:eastAsia="zh-CN"/>
              </w:rPr>
              <w:t>北交所设立契机</w:t>
            </w:r>
            <w:r>
              <w:rPr>
                <w:rFonts w:hint="eastAsia" w:ascii="仿宋" w:hAnsi="仿宋" w:eastAsia="仿宋"/>
                <w:color w:val="auto"/>
                <w:kern w:val="0"/>
                <w:sz w:val="24"/>
              </w:rPr>
              <w:t>，优化资本市场链接功能。</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817" w:type="dxa"/>
            <w:vAlign w:val="top"/>
          </w:tcPr>
          <w:p>
            <w:pPr>
              <w:spacing w:before="100" w:beforeAutospacing="1" w:after="100" w:afterAutospacing="1" w:line="360" w:lineRule="auto"/>
              <w:rPr>
                <w:rFonts w:hint="default" w:ascii="仿宋" w:hAnsi="仿宋" w:eastAsia="仿宋" w:cs="华文楷体"/>
                <w:b/>
                <w:bCs/>
                <w:color w:val="auto"/>
                <w:kern w:val="0"/>
                <w:sz w:val="24"/>
                <w:szCs w:val="24"/>
                <w:lang w:val="en-US" w:eastAsia="zh-CN" w:bidi="ar-SA"/>
              </w:rPr>
            </w:pPr>
            <w:r>
              <w:rPr>
                <w:rFonts w:hint="eastAsia" w:ascii="仿宋" w:hAnsi="仿宋" w:eastAsia="仿宋" w:cs="华文楷体"/>
                <w:b/>
                <w:bCs/>
                <w:color w:val="auto"/>
                <w:kern w:val="0"/>
                <w:sz w:val="24"/>
                <w:lang w:val="en-US" w:eastAsia="zh-CN"/>
              </w:rPr>
              <w:t>15</w:t>
            </w:r>
          </w:p>
        </w:tc>
        <w:tc>
          <w:tcPr>
            <w:tcW w:w="1791" w:type="dxa"/>
            <w:vAlign w:val="top"/>
          </w:tcPr>
          <w:p>
            <w:pPr>
              <w:spacing w:before="100" w:beforeAutospacing="1" w:after="100" w:afterAutospacing="1" w:line="360" w:lineRule="auto"/>
              <w:rPr>
                <w:rFonts w:hint="eastAsia" w:ascii="仿宋" w:hAnsi="仿宋" w:eastAsia="仿宋" w:cs="Times New Roman"/>
                <w:b/>
                <w:color w:val="auto"/>
                <w:kern w:val="0"/>
                <w:sz w:val="24"/>
                <w:szCs w:val="24"/>
                <w:lang w:val="en-US" w:eastAsia="zh-CN" w:bidi="ar-SA"/>
              </w:rPr>
            </w:pPr>
            <w:r>
              <w:rPr>
                <w:rFonts w:hint="eastAsia" w:ascii="仿宋" w:hAnsi="仿宋" w:eastAsia="仿宋"/>
                <w:b/>
                <w:color w:val="auto"/>
                <w:kern w:val="0"/>
                <w:sz w:val="24"/>
                <w:lang w:eastAsia="zh-CN"/>
              </w:rPr>
              <w:t>优化供应链金融发展模式</w:t>
            </w:r>
          </w:p>
        </w:tc>
        <w:tc>
          <w:tcPr>
            <w:tcW w:w="5297" w:type="dxa"/>
            <w:vAlign w:val="top"/>
          </w:tcPr>
          <w:p>
            <w:pPr>
              <w:spacing w:before="100" w:beforeAutospacing="1" w:after="100" w:afterAutospacing="1" w:line="360" w:lineRule="auto"/>
              <w:ind w:firstLine="480" w:firstLineChars="0"/>
              <w:rPr>
                <w:rFonts w:hint="eastAsia" w:ascii="仿宋" w:hAnsi="仿宋" w:eastAsia="仿宋" w:cs="Times New Roman"/>
                <w:color w:val="auto"/>
                <w:kern w:val="0"/>
                <w:sz w:val="24"/>
                <w:szCs w:val="24"/>
                <w:lang w:val="en-US" w:eastAsia="zh-CN" w:bidi="ar-SA"/>
              </w:rPr>
            </w:pPr>
            <w:r>
              <w:rPr>
                <w:rFonts w:hint="eastAsia" w:ascii="仿宋" w:hAnsi="仿宋" w:eastAsia="仿宋"/>
                <w:color w:val="auto"/>
                <w:kern w:val="0"/>
                <w:sz w:val="24"/>
                <w:lang w:eastAsia="zh-CN"/>
              </w:rPr>
              <w:t>探索</w:t>
            </w:r>
            <w:r>
              <w:rPr>
                <w:rFonts w:hint="eastAsia" w:ascii="仿宋" w:hAnsi="仿宋" w:eastAsia="仿宋"/>
                <w:color w:val="auto"/>
                <w:kern w:val="0"/>
                <w:sz w:val="24"/>
              </w:rPr>
              <w:t>构建政府+银行的弹性授信机制</w:t>
            </w:r>
            <w:r>
              <w:rPr>
                <w:rFonts w:hint="eastAsia" w:ascii="仿宋" w:hAnsi="仿宋" w:eastAsia="仿宋"/>
                <w:color w:val="auto"/>
                <w:kern w:val="0"/>
                <w:sz w:val="24"/>
                <w:lang w:eastAsia="zh-CN"/>
              </w:rPr>
              <w:t>，探索</w:t>
            </w:r>
            <w:r>
              <w:rPr>
                <w:rFonts w:hint="eastAsia" w:ascii="仿宋" w:hAnsi="仿宋" w:eastAsia="仿宋"/>
                <w:color w:val="auto"/>
                <w:kern w:val="0"/>
                <w:sz w:val="24"/>
              </w:rPr>
              <w:t>建立政府筛选、银行认定、保险嵌入和企业运作的供应链金融增信新模式。</w:t>
            </w:r>
          </w:p>
        </w:tc>
        <w:tc>
          <w:tcPr>
            <w:tcW w:w="708" w:type="dxa"/>
            <w:vAlign w:val="top"/>
          </w:tcPr>
          <w:p>
            <w:pPr>
              <w:spacing w:before="100" w:beforeAutospacing="1" w:after="100" w:afterAutospacing="1" w:line="360" w:lineRule="auto"/>
              <w:ind w:firstLine="482"/>
              <w:rPr>
                <w:rFonts w:ascii="仿宋" w:hAnsi="仿宋" w:eastAsia="仿宋" w:cs="华文楷体"/>
                <w:b/>
                <w:bCs/>
                <w:color w:val="auto"/>
                <w:kern w:val="0"/>
                <w:sz w:val="24"/>
              </w:rPr>
            </w:pPr>
          </w:p>
        </w:tc>
      </w:tr>
    </w:tbl>
    <w:p>
      <w:pPr>
        <w:pStyle w:val="2"/>
        <w:wordWrap/>
        <w:spacing w:line="560" w:lineRule="exact"/>
        <w:ind w:left="0" w:leftChars="0" w:firstLine="0" w:firstLineChars="0"/>
        <w:textAlignment w:val="auto"/>
        <w:rPr>
          <w:color w:val="auto"/>
        </w:rPr>
      </w:pPr>
    </w:p>
    <w:sectPr>
      <w:footerReference r:id="rId3" w:type="default"/>
      <w:pgSz w:w="11906" w:h="16838"/>
      <w:pgMar w:top="1276" w:right="1800" w:bottom="1276"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49"/>
    <w:rsid w:val="00017E0E"/>
    <w:rsid w:val="000216B3"/>
    <w:rsid w:val="0003673C"/>
    <w:rsid w:val="00037E63"/>
    <w:rsid w:val="00047F38"/>
    <w:rsid w:val="00056953"/>
    <w:rsid w:val="00061F1A"/>
    <w:rsid w:val="00070EE1"/>
    <w:rsid w:val="00074FEA"/>
    <w:rsid w:val="000954B6"/>
    <w:rsid w:val="000A32DB"/>
    <w:rsid w:val="000A4794"/>
    <w:rsid w:val="000B07B9"/>
    <w:rsid w:val="000B3A56"/>
    <w:rsid w:val="000B4497"/>
    <w:rsid w:val="000B664B"/>
    <w:rsid w:val="000B6760"/>
    <w:rsid w:val="000C15A3"/>
    <w:rsid w:val="000C43EE"/>
    <w:rsid w:val="000C782B"/>
    <w:rsid w:val="000D0AE0"/>
    <w:rsid w:val="000D18D6"/>
    <w:rsid w:val="000F46C1"/>
    <w:rsid w:val="000F4C98"/>
    <w:rsid w:val="00116CB0"/>
    <w:rsid w:val="001258D6"/>
    <w:rsid w:val="0014529B"/>
    <w:rsid w:val="0014587B"/>
    <w:rsid w:val="00145F69"/>
    <w:rsid w:val="001503D5"/>
    <w:rsid w:val="00156DA8"/>
    <w:rsid w:val="0016156B"/>
    <w:rsid w:val="001814CE"/>
    <w:rsid w:val="00181D00"/>
    <w:rsid w:val="00182857"/>
    <w:rsid w:val="00191C0D"/>
    <w:rsid w:val="00192F79"/>
    <w:rsid w:val="00193442"/>
    <w:rsid w:val="00197F1A"/>
    <w:rsid w:val="001A1AD5"/>
    <w:rsid w:val="001A23C0"/>
    <w:rsid w:val="001A6683"/>
    <w:rsid w:val="001B3A52"/>
    <w:rsid w:val="001E2389"/>
    <w:rsid w:val="001E3B12"/>
    <w:rsid w:val="001E5329"/>
    <w:rsid w:val="001E7B96"/>
    <w:rsid w:val="001E7F97"/>
    <w:rsid w:val="00200C17"/>
    <w:rsid w:val="00201705"/>
    <w:rsid w:val="00231D55"/>
    <w:rsid w:val="00234BB0"/>
    <w:rsid w:val="002356D9"/>
    <w:rsid w:val="00256015"/>
    <w:rsid w:val="002561D1"/>
    <w:rsid w:val="00286C8E"/>
    <w:rsid w:val="00296F16"/>
    <w:rsid w:val="002A2AF4"/>
    <w:rsid w:val="002A534F"/>
    <w:rsid w:val="002B0698"/>
    <w:rsid w:val="002E4261"/>
    <w:rsid w:val="002E57E1"/>
    <w:rsid w:val="002F3477"/>
    <w:rsid w:val="002F7311"/>
    <w:rsid w:val="003009B7"/>
    <w:rsid w:val="00310E9D"/>
    <w:rsid w:val="00310EA4"/>
    <w:rsid w:val="00315800"/>
    <w:rsid w:val="003409BA"/>
    <w:rsid w:val="00344EE1"/>
    <w:rsid w:val="00351966"/>
    <w:rsid w:val="00355D70"/>
    <w:rsid w:val="00362636"/>
    <w:rsid w:val="00362A7E"/>
    <w:rsid w:val="00366BB4"/>
    <w:rsid w:val="0037540C"/>
    <w:rsid w:val="00383932"/>
    <w:rsid w:val="0038590B"/>
    <w:rsid w:val="00385982"/>
    <w:rsid w:val="00385ECF"/>
    <w:rsid w:val="00391A47"/>
    <w:rsid w:val="003B5A05"/>
    <w:rsid w:val="003C44C1"/>
    <w:rsid w:val="003D588B"/>
    <w:rsid w:val="003D77DF"/>
    <w:rsid w:val="003E01A1"/>
    <w:rsid w:val="003F6BC4"/>
    <w:rsid w:val="003F77ED"/>
    <w:rsid w:val="00407C49"/>
    <w:rsid w:val="004146C7"/>
    <w:rsid w:val="00434319"/>
    <w:rsid w:val="00437AC8"/>
    <w:rsid w:val="00443F52"/>
    <w:rsid w:val="004454B3"/>
    <w:rsid w:val="004462AB"/>
    <w:rsid w:val="00451629"/>
    <w:rsid w:val="00452B7C"/>
    <w:rsid w:val="004802BA"/>
    <w:rsid w:val="00484861"/>
    <w:rsid w:val="00490807"/>
    <w:rsid w:val="0049173D"/>
    <w:rsid w:val="00491BED"/>
    <w:rsid w:val="004948BC"/>
    <w:rsid w:val="004A018D"/>
    <w:rsid w:val="004B5261"/>
    <w:rsid w:val="004C481C"/>
    <w:rsid w:val="004D3126"/>
    <w:rsid w:val="004D3ACA"/>
    <w:rsid w:val="004D54C9"/>
    <w:rsid w:val="004F1642"/>
    <w:rsid w:val="005110E5"/>
    <w:rsid w:val="005145E7"/>
    <w:rsid w:val="00517E11"/>
    <w:rsid w:val="005279AD"/>
    <w:rsid w:val="00531076"/>
    <w:rsid w:val="0054543E"/>
    <w:rsid w:val="00545679"/>
    <w:rsid w:val="00547227"/>
    <w:rsid w:val="005550D6"/>
    <w:rsid w:val="0056351A"/>
    <w:rsid w:val="00564A00"/>
    <w:rsid w:val="00564EE5"/>
    <w:rsid w:val="00567AC8"/>
    <w:rsid w:val="005721FE"/>
    <w:rsid w:val="00590588"/>
    <w:rsid w:val="00593791"/>
    <w:rsid w:val="005B1193"/>
    <w:rsid w:val="005B433E"/>
    <w:rsid w:val="005B7B7A"/>
    <w:rsid w:val="005C3B6F"/>
    <w:rsid w:val="005C65FB"/>
    <w:rsid w:val="005D016D"/>
    <w:rsid w:val="005D2C47"/>
    <w:rsid w:val="005D4EC5"/>
    <w:rsid w:val="005D6D63"/>
    <w:rsid w:val="005E18BB"/>
    <w:rsid w:val="005E40E7"/>
    <w:rsid w:val="005F142F"/>
    <w:rsid w:val="005F1CD5"/>
    <w:rsid w:val="005F2513"/>
    <w:rsid w:val="005F5EF8"/>
    <w:rsid w:val="00604744"/>
    <w:rsid w:val="006053E2"/>
    <w:rsid w:val="00610281"/>
    <w:rsid w:val="00616255"/>
    <w:rsid w:val="00616ACE"/>
    <w:rsid w:val="00621C32"/>
    <w:rsid w:val="00622338"/>
    <w:rsid w:val="00630CBE"/>
    <w:rsid w:val="00633BE4"/>
    <w:rsid w:val="0064442F"/>
    <w:rsid w:val="0064504C"/>
    <w:rsid w:val="00657C85"/>
    <w:rsid w:val="00663FC7"/>
    <w:rsid w:val="00665088"/>
    <w:rsid w:val="006657DF"/>
    <w:rsid w:val="00676DAE"/>
    <w:rsid w:val="00681158"/>
    <w:rsid w:val="00695CF5"/>
    <w:rsid w:val="006A1C02"/>
    <w:rsid w:val="006A1F54"/>
    <w:rsid w:val="006C46BE"/>
    <w:rsid w:val="006D5AF5"/>
    <w:rsid w:val="006D74B6"/>
    <w:rsid w:val="006E356E"/>
    <w:rsid w:val="006E3A6C"/>
    <w:rsid w:val="006F707A"/>
    <w:rsid w:val="00702E39"/>
    <w:rsid w:val="007075CB"/>
    <w:rsid w:val="00715C69"/>
    <w:rsid w:val="0071676F"/>
    <w:rsid w:val="007208C2"/>
    <w:rsid w:val="00727517"/>
    <w:rsid w:val="0073127D"/>
    <w:rsid w:val="007372A5"/>
    <w:rsid w:val="00737924"/>
    <w:rsid w:val="00742B54"/>
    <w:rsid w:val="007479F7"/>
    <w:rsid w:val="00747C48"/>
    <w:rsid w:val="00756107"/>
    <w:rsid w:val="00766864"/>
    <w:rsid w:val="0079010D"/>
    <w:rsid w:val="00793879"/>
    <w:rsid w:val="007A63A3"/>
    <w:rsid w:val="007A79E9"/>
    <w:rsid w:val="007B3059"/>
    <w:rsid w:val="007C1DBE"/>
    <w:rsid w:val="007D6A5E"/>
    <w:rsid w:val="007E76B8"/>
    <w:rsid w:val="0080101C"/>
    <w:rsid w:val="00802105"/>
    <w:rsid w:val="00807368"/>
    <w:rsid w:val="00807BD3"/>
    <w:rsid w:val="008118CB"/>
    <w:rsid w:val="0081279B"/>
    <w:rsid w:val="008308A0"/>
    <w:rsid w:val="008333B4"/>
    <w:rsid w:val="008419A7"/>
    <w:rsid w:val="00843838"/>
    <w:rsid w:val="00843D79"/>
    <w:rsid w:val="008449AF"/>
    <w:rsid w:val="00844B1D"/>
    <w:rsid w:val="00855224"/>
    <w:rsid w:val="00862227"/>
    <w:rsid w:val="0087097F"/>
    <w:rsid w:val="0087603E"/>
    <w:rsid w:val="00876C17"/>
    <w:rsid w:val="0088067D"/>
    <w:rsid w:val="008868E7"/>
    <w:rsid w:val="00890DD4"/>
    <w:rsid w:val="00892688"/>
    <w:rsid w:val="008948E9"/>
    <w:rsid w:val="008B47FD"/>
    <w:rsid w:val="008C2817"/>
    <w:rsid w:val="008C3098"/>
    <w:rsid w:val="008C44A8"/>
    <w:rsid w:val="008C5FB7"/>
    <w:rsid w:val="008E2385"/>
    <w:rsid w:val="008F4A5D"/>
    <w:rsid w:val="008F4AAC"/>
    <w:rsid w:val="0092016E"/>
    <w:rsid w:val="009367BB"/>
    <w:rsid w:val="009536C7"/>
    <w:rsid w:val="00954ED4"/>
    <w:rsid w:val="00963BB4"/>
    <w:rsid w:val="00967CFD"/>
    <w:rsid w:val="00981B2B"/>
    <w:rsid w:val="0098365C"/>
    <w:rsid w:val="00986641"/>
    <w:rsid w:val="00995212"/>
    <w:rsid w:val="00996239"/>
    <w:rsid w:val="00996F02"/>
    <w:rsid w:val="009A0F65"/>
    <w:rsid w:val="009B05E0"/>
    <w:rsid w:val="009B43FE"/>
    <w:rsid w:val="009C0C05"/>
    <w:rsid w:val="009C5B09"/>
    <w:rsid w:val="009E0F89"/>
    <w:rsid w:val="009E1493"/>
    <w:rsid w:val="009E45B9"/>
    <w:rsid w:val="009E78E3"/>
    <w:rsid w:val="009F03FF"/>
    <w:rsid w:val="00A02219"/>
    <w:rsid w:val="00A0300B"/>
    <w:rsid w:val="00A0589A"/>
    <w:rsid w:val="00A41D55"/>
    <w:rsid w:val="00A41F91"/>
    <w:rsid w:val="00A524BA"/>
    <w:rsid w:val="00A56824"/>
    <w:rsid w:val="00A61B37"/>
    <w:rsid w:val="00A6271E"/>
    <w:rsid w:val="00A6397B"/>
    <w:rsid w:val="00A673A4"/>
    <w:rsid w:val="00A81D63"/>
    <w:rsid w:val="00A9536E"/>
    <w:rsid w:val="00AA15A2"/>
    <w:rsid w:val="00AB2421"/>
    <w:rsid w:val="00AC34E6"/>
    <w:rsid w:val="00AC3DB9"/>
    <w:rsid w:val="00AE1AE2"/>
    <w:rsid w:val="00AE2BE4"/>
    <w:rsid w:val="00AF19D3"/>
    <w:rsid w:val="00AF5875"/>
    <w:rsid w:val="00B022E6"/>
    <w:rsid w:val="00B03985"/>
    <w:rsid w:val="00B147FB"/>
    <w:rsid w:val="00B2383F"/>
    <w:rsid w:val="00B25722"/>
    <w:rsid w:val="00B26BB1"/>
    <w:rsid w:val="00B318F8"/>
    <w:rsid w:val="00B37064"/>
    <w:rsid w:val="00B577E3"/>
    <w:rsid w:val="00B60037"/>
    <w:rsid w:val="00B60771"/>
    <w:rsid w:val="00B63E23"/>
    <w:rsid w:val="00B675D0"/>
    <w:rsid w:val="00B730C4"/>
    <w:rsid w:val="00B75402"/>
    <w:rsid w:val="00B75C22"/>
    <w:rsid w:val="00B809AF"/>
    <w:rsid w:val="00B843F1"/>
    <w:rsid w:val="00B956D6"/>
    <w:rsid w:val="00BB0E65"/>
    <w:rsid w:val="00BB3081"/>
    <w:rsid w:val="00BD0D50"/>
    <w:rsid w:val="00BD2B76"/>
    <w:rsid w:val="00BD2BD7"/>
    <w:rsid w:val="00BD5819"/>
    <w:rsid w:val="00BD72AF"/>
    <w:rsid w:val="00BE36AA"/>
    <w:rsid w:val="00BE602D"/>
    <w:rsid w:val="00BF1500"/>
    <w:rsid w:val="00C027E5"/>
    <w:rsid w:val="00C1667E"/>
    <w:rsid w:val="00C22EE3"/>
    <w:rsid w:val="00C27253"/>
    <w:rsid w:val="00C276B3"/>
    <w:rsid w:val="00C37893"/>
    <w:rsid w:val="00C40337"/>
    <w:rsid w:val="00C42D4E"/>
    <w:rsid w:val="00C46966"/>
    <w:rsid w:val="00C57861"/>
    <w:rsid w:val="00C646F9"/>
    <w:rsid w:val="00C7149F"/>
    <w:rsid w:val="00C849EB"/>
    <w:rsid w:val="00C878BF"/>
    <w:rsid w:val="00C9440E"/>
    <w:rsid w:val="00C95DD0"/>
    <w:rsid w:val="00CA3C08"/>
    <w:rsid w:val="00CA3D38"/>
    <w:rsid w:val="00CA53D0"/>
    <w:rsid w:val="00CC03A4"/>
    <w:rsid w:val="00CC508A"/>
    <w:rsid w:val="00CE1C36"/>
    <w:rsid w:val="00CE59C5"/>
    <w:rsid w:val="00CF0C5F"/>
    <w:rsid w:val="00CF1894"/>
    <w:rsid w:val="00CF3215"/>
    <w:rsid w:val="00D06A59"/>
    <w:rsid w:val="00D17E34"/>
    <w:rsid w:val="00D3150A"/>
    <w:rsid w:val="00D3292C"/>
    <w:rsid w:val="00D40690"/>
    <w:rsid w:val="00D4387C"/>
    <w:rsid w:val="00D44859"/>
    <w:rsid w:val="00D46AC9"/>
    <w:rsid w:val="00D536FB"/>
    <w:rsid w:val="00D56A45"/>
    <w:rsid w:val="00D57212"/>
    <w:rsid w:val="00D62877"/>
    <w:rsid w:val="00D63DC7"/>
    <w:rsid w:val="00D64FA8"/>
    <w:rsid w:val="00D736E9"/>
    <w:rsid w:val="00D75EA3"/>
    <w:rsid w:val="00D81326"/>
    <w:rsid w:val="00D9539F"/>
    <w:rsid w:val="00DA7E92"/>
    <w:rsid w:val="00DC5482"/>
    <w:rsid w:val="00DC5502"/>
    <w:rsid w:val="00DD42A6"/>
    <w:rsid w:val="00DE702E"/>
    <w:rsid w:val="00DF5B58"/>
    <w:rsid w:val="00E13599"/>
    <w:rsid w:val="00E23D2B"/>
    <w:rsid w:val="00E24737"/>
    <w:rsid w:val="00E33B8C"/>
    <w:rsid w:val="00E3423B"/>
    <w:rsid w:val="00E455B6"/>
    <w:rsid w:val="00E53B84"/>
    <w:rsid w:val="00E64FD3"/>
    <w:rsid w:val="00E6615B"/>
    <w:rsid w:val="00E8345A"/>
    <w:rsid w:val="00E8527B"/>
    <w:rsid w:val="00E901DE"/>
    <w:rsid w:val="00E933A1"/>
    <w:rsid w:val="00EA2CAC"/>
    <w:rsid w:val="00EA5D40"/>
    <w:rsid w:val="00EB17FC"/>
    <w:rsid w:val="00EB2004"/>
    <w:rsid w:val="00EB7454"/>
    <w:rsid w:val="00ED2191"/>
    <w:rsid w:val="00EF122B"/>
    <w:rsid w:val="00F01989"/>
    <w:rsid w:val="00F03221"/>
    <w:rsid w:val="00F23968"/>
    <w:rsid w:val="00F54827"/>
    <w:rsid w:val="00F54BB6"/>
    <w:rsid w:val="00F73990"/>
    <w:rsid w:val="00F84DFC"/>
    <w:rsid w:val="00F85269"/>
    <w:rsid w:val="00F91B34"/>
    <w:rsid w:val="00F94ABA"/>
    <w:rsid w:val="00F96DB8"/>
    <w:rsid w:val="00FA6184"/>
    <w:rsid w:val="00FB0C03"/>
    <w:rsid w:val="00FB6F3D"/>
    <w:rsid w:val="00FD1800"/>
    <w:rsid w:val="00FD3434"/>
    <w:rsid w:val="00FD5151"/>
    <w:rsid w:val="00FD54C4"/>
    <w:rsid w:val="012842A7"/>
    <w:rsid w:val="01520CB9"/>
    <w:rsid w:val="01CC0983"/>
    <w:rsid w:val="01F73D9E"/>
    <w:rsid w:val="02304E24"/>
    <w:rsid w:val="029611F6"/>
    <w:rsid w:val="030C5C43"/>
    <w:rsid w:val="038A635A"/>
    <w:rsid w:val="03AC1771"/>
    <w:rsid w:val="03F802FD"/>
    <w:rsid w:val="0422702D"/>
    <w:rsid w:val="042F784C"/>
    <w:rsid w:val="044A54F1"/>
    <w:rsid w:val="04807BFE"/>
    <w:rsid w:val="04B42F87"/>
    <w:rsid w:val="057E3312"/>
    <w:rsid w:val="05983EBC"/>
    <w:rsid w:val="05C22B02"/>
    <w:rsid w:val="061B0C12"/>
    <w:rsid w:val="062F7F32"/>
    <w:rsid w:val="07A35216"/>
    <w:rsid w:val="07A50719"/>
    <w:rsid w:val="07F923A1"/>
    <w:rsid w:val="089922AB"/>
    <w:rsid w:val="08AA38CA"/>
    <w:rsid w:val="08BE6C67"/>
    <w:rsid w:val="08C26D11"/>
    <w:rsid w:val="08D93BF9"/>
    <w:rsid w:val="09277829"/>
    <w:rsid w:val="09BB5885"/>
    <w:rsid w:val="09F2205B"/>
    <w:rsid w:val="0A17189D"/>
    <w:rsid w:val="0A275D97"/>
    <w:rsid w:val="0B062437"/>
    <w:rsid w:val="0B2A54F9"/>
    <w:rsid w:val="0B7F0DF6"/>
    <w:rsid w:val="0B876F9C"/>
    <w:rsid w:val="0BC97B63"/>
    <w:rsid w:val="0BD22CA1"/>
    <w:rsid w:val="0BE95E9A"/>
    <w:rsid w:val="0C0D5526"/>
    <w:rsid w:val="0C911B2B"/>
    <w:rsid w:val="0CF2414E"/>
    <w:rsid w:val="0EB827B5"/>
    <w:rsid w:val="0EE71130"/>
    <w:rsid w:val="0F514F32"/>
    <w:rsid w:val="101471EE"/>
    <w:rsid w:val="105B7F0E"/>
    <w:rsid w:val="10C63373"/>
    <w:rsid w:val="10EB1450"/>
    <w:rsid w:val="113F53B3"/>
    <w:rsid w:val="114E501D"/>
    <w:rsid w:val="118B7CD4"/>
    <w:rsid w:val="11A21348"/>
    <w:rsid w:val="11A3317D"/>
    <w:rsid w:val="11B6439C"/>
    <w:rsid w:val="11DF2FE2"/>
    <w:rsid w:val="122F6586"/>
    <w:rsid w:val="133FDAF9"/>
    <w:rsid w:val="13420971"/>
    <w:rsid w:val="13484B32"/>
    <w:rsid w:val="14FF456B"/>
    <w:rsid w:val="152D46FD"/>
    <w:rsid w:val="15314652"/>
    <w:rsid w:val="157E0C46"/>
    <w:rsid w:val="15D95354"/>
    <w:rsid w:val="16352BFB"/>
    <w:rsid w:val="176F167E"/>
    <w:rsid w:val="18096102"/>
    <w:rsid w:val="184B5B6A"/>
    <w:rsid w:val="184E6106"/>
    <w:rsid w:val="18E9476E"/>
    <w:rsid w:val="196675BB"/>
    <w:rsid w:val="19BE3DAE"/>
    <w:rsid w:val="19FF7FDF"/>
    <w:rsid w:val="1A41499F"/>
    <w:rsid w:val="1AC8397F"/>
    <w:rsid w:val="1B2E1125"/>
    <w:rsid w:val="1B4F4EE4"/>
    <w:rsid w:val="1B674782"/>
    <w:rsid w:val="1BB2137E"/>
    <w:rsid w:val="1BFD4298"/>
    <w:rsid w:val="1C0B0B13"/>
    <w:rsid w:val="1C394ADA"/>
    <w:rsid w:val="1CE913FB"/>
    <w:rsid w:val="1D4146EE"/>
    <w:rsid w:val="1D4914DD"/>
    <w:rsid w:val="1D7879E5"/>
    <w:rsid w:val="1DB72D4D"/>
    <w:rsid w:val="1ECC68FA"/>
    <w:rsid w:val="1EFF210A"/>
    <w:rsid w:val="1F4B0BE5"/>
    <w:rsid w:val="206B7084"/>
    <w:rsid w:val="20932201"/>
    <w:rsid w:val="223076A3"/>
    <w:rsid w:val="22C55999"/>
    <w:rsid w:val="22DF1DC6"/>
    <w:rsid w:val="23333A4E"/>
    <w:rsid w:val="23AE69D9"/>
    <w:rsid w:val="241F58DC"/>
    <w:rsid w:val="24610C3D"/>
    <w:rsid w:val="24844892"/>
    <w:rsid w:val="24DA01C9"/>
    <w:rsid w:val="24E97764"/>
    <w:rsid w:val="25354498"/>
    <w:rsid w:val="25513D65"/>
    <w:rsid w:val="25777A8A"/>
    <w:rsid w:val="258477FA"/>
    <w:rsid w:val="25D51084"/>
    <w:rsid w:val="25E258B6"/>
    <w:rsid w:val="25F66AD5"/>
    <w:rsid w:val="260D66FA"/>
    <w:rsid w:val="267506A8"/>
    <w:rsid w:val="2678382B"/>
    <w:rsid w:val="26877182"/>
    <w:rsid w:val="26A5174A"/>
    <w:rsid w:val="26D71562"/>
    <w:rsid w:val="2759091B"/>
    <w:rsid w:val="276F73FD"/>
    <w:rsid w:val="286202DE"/>
    <w:rsid w:val="287FF029"/>
    <w:rsid w:val="296F5A87"/>
    <w:rsid w:val="29762193"/>
    <w:rsid w:val="298E08BA"/>
    <w:rsid w:val="29E927AC"/>
    <w:rsid w:val="29ED3995"/>
    <w:rsid w:val="29F953AC"/>
    <w:rsid w:val="2A131B48"/>
    <w:rsid w:val="2AB84B24"/>
    <w:rsid w:val="2ADD72E3"/>
    <w:rsid w:val="2AE14ABD"/>
    <w:rsid w:val="2B02041C"/>
    <w:rsid w:val="2B436C87"/>
    <w:rsid w:val="2BF45185"/>
    <w:rsid w:val="2C61165D"/>
    <w:rsid w:val="2C8D57D4"/>
    <w:rsid w:val="2C9D5FF0"/>
    <w:rsid w:val="2CF518DC"/>
    <w:rsid w:val="2D013765"/>
    <w:rsid w:val="2D9A265E"/>
    <w:rsid w:val="2E474D07"/>
    <w:rsid w:val="2E624FCE"/>
    <w:rsid w:val="2E7C2A81"/>
    <w:rsid w:val="2E8A1F67"/>
    <w:rsid w:val="2FF37207"/>
    <w:rsid w:val="304E1AB4"/>
    <w:rsid w:val="3058721C"/>
    <w:rsid w:val="308813FC"/>
    <w:rsid w:val="30A93AF5"/>
    <w:rsid w:val="313A2DE0"/>
    <w:rsid w:val="31547073"/>
    <w:rsid w:val="316779B1"/>
    <w:rsid w:val="31A124F9"/>
    <w:rsid w:val="31EF7400"/>
    <w:rsid w:val="32063522"/>
    <w:rsid w:val="32D95A79"/>
    <w:rsid w:val="334179C2"/>
    <w:rsid w:val="33683938"/>
    <w:rsid w:val="33A87D99"/>
    <w:rsid w:val="33E527F1"/>
    <w:rsid w:val="33FB7D0B"/>
    <w:rsid w:val="3430602A"/>
    <w:rsid w:val="34343C5E"/>
    <w:rsid w:val="34780F81"/>
    <w:rsid w:val="35FB3B60"/>
    <w:rsid w:val="364D78B2"/>
    <w:rsid w:val="36C52B6C"/>
    <w:rsid w:val="36FE3D48"/>
    <w:rsid w:val="375D0761"/>
    <w:rsid w:val="377A0AE0"/>
    <w:rsid w:val="37B336EE"/>
    <w:rsid w:val="37E47740"/>
    <w:rsid w:val="37E94FC9"/>
    <w:rsid w:val="37ED00D6"/>
    <w:rsid w:val="38344F41"/>
    <w:rsid w:val="38BE4EA5"/>
    <w:rsid w:val="38E9403A"/>
    <w:rsid w:val="38F21CC9"/>
    <w:rsid w:val="39FF2DF1"/>
    <w:rsid w:val="3AF40348"/>
    <w:rsid w:val="3C4A2E77"/>
    <w:rsid w:val="3CB31E79"/>
    <w:rsid w:val="3CCB615A"/>
    <w:rsid w:val="3CF31E3B"/>
    <w:rsid w:val="3D23416A"/>
    <w:rsid w:val="3D4C6D9B"/>
    <w:rsid w:val="3D860681"/>
    <w:rsid w:val="3DBA7BB3"/>
    <w:rsid w:val="3DF24FEE"/>
    <w:rsid w:val="3E5654D6"/>
    <w:rsid w:val="3EB91CF7"/>
    <w:rsid w:val="3F0446AD"/>
    <w:rsid w:val="3F210422"/>
    <w:rsid w:val="3F381A0B"/>
    <w:rsid w:val="3F50C100"/>
    <w:rsid w:val="3F65FF90"/>
    <w:rsid w:val="3FAB6D01"/>
    <w:rsid w:val="3FB587D1"/>
    <w:rsid w:val="3FC726BC"/>
    <w:rsid w:val="3FCDFB18"/>
    <w:rsid w:val="3FF240AB"/>
    <w:rsid w:val="40333762"/>
    <w:rsid w:val="40E53B91"/>
    <w:rsid w:val="415A658C"/>
    <w:rsid w:val="41B22B3F"/>
    <w:rsid w:val="41CB6AEC"/>
    <w:rsid w:val="42C86794"/>
    <w:rsid w:val="43555525"/>
    <w:rsid w:val="43BC4F2D"/>
    <w:rsid w:val="445F3AAF"/>
    <w:rsid w:val="44EA63B3"/>
    <w:rsid w:val="452138FB"/>
    <w:rsid w:val="452E518F"/>
    <w:rsid w:val="453172C9"/>
    <w:rsid w:val="45321617"/>
    <w:rsid w:val="45543D4A"/>
    <w:rsid w:val="458967A2"/>
    <w:rsid w:val="46211BFB"/>
    <w:rsid w:val="462E6F30"/>
    <w:rsid w:val="46642AE5"/>
    <w:rsid w:val="46C14F72"/>
    <w:rsid w:val="46C774AF"/>
    <w:rsid w:val="46EE3AEB"/>
    <w:rsid w:val="46F93C2B"/>
    <w:rsid w:val="4734568A"/>
    <w:rsid w:val="4757BE31"/>
    <w:rsid w:val="47757E00"/>
    <w:rsid w:val="47DD15DA"/>
    <w:rsid w:val="47E7FAD6"/>
    <w:rsid w:val="48042FF8"/>
    <w:rsid w:val="487061E5"/>
    <w:rsid w:val="48850709"/>
    <w:rsid w:val="48D7140D"/>
    <w:rsid w:val="49D050A7"/>
    <w:rsid w:val="4A713649"/>
    <w:rsid w:val="4A96672A"/>
    <w:rsid w:val="4AD6624A"/>
    <w:rsid w:val="4ADD3FD1"/>
    <w:rsid w:val="4B352F9F"/>
    <w:rsid w:val="4B416003"/>
    <w:rsid w:val="4B9C4938"/>
    <w:rsid w:val="4BE83319"/>
    <w:rsid w:val="4C827385"/>
    <w:rsid w:val="4CA40BDA"/>
    <w:rsid w:val="4D9B61E3"/>
    <w:rsid w:val="4DC12B9F"/>
    <w:rsid w:val="4DDA3C14"/>
    <w:rsid w:val="4DF85277"/>
    <w:rsid w:val="4E1C1FB4"/>
    <w:rsid w:val="4E5C7C89"/>
    <w:rsid w:val="4E6B02A1"/>
    <w:rsid w:val="4E947FA0"/>
    <w:rsid w:val="4EEF6402"/>
    <w:rsid w:val="4F381487"/>
    <w:rsid w:val="4F8F0575"/>
    <w:rsid w:val="4FB252EF"/>
    <w:rsid w:val="4FFE9884"/>
    <w:rsid w:val="4FFF63DD"/>
    <w:rsid w:val="50156BB5"/>
    <w:rsid w:val="5038102A"/>
    <w:rsid w:val="508E4D23"/>
    <w:rsid w:val="50971E3B"/>
    <w:rsid w:val="50CA1ECA"/>
    <w:rsid w:val="50D5692A"/>
    <w:rsid w:val="50E36F44"/>
    <w:rsid w:val="5140185C"/>
    <w:rsid w:val="51893BBA"/>
    <w:rsid w:val="51B12E15"/>
    <w:rsid w:val="52D10CEE"/>
    <w:rsid w:val="52F7F573"/>
    <w:rsid w:val="530F1453"/>
    <w:rsid w:val="53993136"/>
    <w:rsid w:val="54EE6279"/>
    <w:rsid w:val="550225C0"/>
    <w:rsid w:val="55144ABA"/>
    <w:rsid w:val="551E42D5"/>
    <w:rsid w:val="55426115"/>
    <w:rsid w:val="5569768B"/>
    <w:rsid w:val="55764176"/>
    <w:rsid w:val="55C8314B"/>
    <w:rsid w:val="55EF668D"/>
    <w:rsid w:val="56AD2F16"/>
    <w:rsid w:val="56BC6CDA"/>
    <w:rsid w:val="56D34701"/>
    <w:rsid w:val="570219CD"/>
    <w:rsid w:val="577D7CC7"/>
    <w:rsid w:val="57840CA1"/>
    <w:rsid w:val="578909AC"/>
    <w:rsid w:val="57F54144"/>
    <w:rsid w:val="587E21BE"/>
    <w:rsid w:val="58AD3839"/>
    <w:rsid w:val="58D53123"/>
    <w:rsid w:val="59540103"/>
    <w:rsid w:val="59B30F36"/>
    <w:rsid w:val="5A131D45"/>
    <w:rsid w:val="5A26476F"/>
    <w:rsid w:val="5AC24977"/>
    <w:rsid w:val="5ADA679A"/>
    <w:rsid w:val="5B63462A"/>
    <w:rsid w:val="5B6B6089"/>
    <w:rsid w:val="5BEA6C29"/>
    <w:rsid w:val="5C025303"/>
    <w:rsid w:val="5CB662B1"/>
    <w:rsid w:val="5CD06C55"/>
    <w:rsid w:val="5CE842FC"/>
    <w:rsid w:val="5D893E85"/>
    <w:rsid w:val="5E1501E6"/>
    <w:rsid w:val="5EAB5261"/>
    <w:rsid w:val="5EB016E9"/>
    <w:rsid w:val="5EB5257C"/>
    <w:rsid w:val="5F3B5A4A"/>
    <w:rsid w:val="5F7B51E5"/>
    <w:rsid w:val="5F99523E"/>
    <w:rsid w:val="60A9520F"/>
    <w:rsid w:val="60DB54F6"/>
    <w:rsid w:val="61595DC4"/>
    <w:rsid w:val="623757B2"/>
    <w:rsid w:val="62382484"/>
    <w:rsid w:val="623F34E7"/>
    <w:rsid w:val="62872FB3"/>
    <w:rsid w:val="62FFBAA1"/>
    <w:rsid w:val="63115115"/>
    <w:rsid w:val="63205730"/>
    <w:rsid w:val="635B459A"/>
    <w:rsid w:val="638B28D5"/>
    <w:rsid w:val="641750CC"/>
    <w:rsid w:val="644248DD"/>
    <w:rsid w:val="64485927"/>
    <w:rsid w:val="6457322E"/>
    <w:rsid w:val="64837576"/>
    <w:rsid w:val="64AB1114"/>
    <w:rsid w:val="6505464C"/>
    <w:rsid w:val="65385D9F"/>
    <w:rsid w:val="66AA0200"/>
    <w:rsid w:val="673A38DB"/>
    <w:rsid w:val="67496745"/>
    <w:rsid w:val="675BAA50"/>
    <w:rsid w:val="676524B2"/>
    <w:rsid w:val="6771174B"/>
    <w:rsid w:val="67C44D42"/>
    <w:rsid w:val="67F71571"/>
    <w:rsid w:val="67FE513C"/>
    <w:rsid w:val="684D75AC"/>
    <w:rsid w:val="68785E71"/>
    <w:rsid w:val="68964337"/>
    <w:rsid w:val="6900082C"/>
    <w:rsid w:val="690B7FAC"/>
    <w:rsid w:val="69FD36FF"/>
    <w:rsid w:val="6A5A4D71"/>
    <w:rsid w:val="6AD66FD5"/>
    <w:rsid w:val="6BDF2FEB"/>
    <w:rsid w:val="6C205CF3"/>
    <w:rsid w:val="6C791C04"/>
    <w:rsid w:val="6C8B1D4C"/>
    <w:rsid w:val="6CCD2C14"/>
    <w:rsid w:val="6CFA744B"/>
    <w:rsid w:val="6D47544B"/>
    <w:rsid w:val="6D4F7ACB"/>
    <w:rsid w:val="6DFF1EA3"/>
    <w:rsid w:val="6E7A08A6"/>
    <w:rsid w:val="6F0E2725"/>
    <w:rsid w:val="6F196CD5"/>
    <w:rsid w:val="6F637763"/>
    <w:rsid w:val="6F775EFB"/>
    <w:rsid w:val="6F7D0E8F"/>
    <w:rsid w:val="6FB9555A"/>
    <w:rsid w:val="70105F68"/>
    <w:rsid w:val="70112402"/>
    <w:rsid w:val="72584C5F"/>
    <w:rsid w:val="727C6586"/>
    <w:rsid w:val="72D679F5"/>
    <w:rsid w:val="72E865A9"/>
    <w:rsid w:val="72F5B813"/>
    <w:rsid w:val="72FE7A0F"/>
    <w:rsid w:val="733B44CD"/>
    <w:rsid w:val="73525F7B"/>
    <w:rsid w:val="73D20C23"/>
    <w:rsid w:val="73EA0B79"/>
    <w:rsid w:val="742B0DE9"/>
    <w:rsid w:val="748764A8"/>
    <w:rsid w:val="750B4ECD"/>
    <w:rsid w:val="7539672C"/>
    <w:rsid w:val="75DB4019"/>
    <w:rsid w:val="75ED3075"/>
    <w:rsid w:val="75EF078C"/>
    <w:rsid w:val="760F0914"/>
    <w:rsid w:val="76625D12"/>
    <w:rsid w:val="776BF41B"/>
    <w:rsid w:val="777DF7AB"/>
    <w:rsid w:val="77B30982"/>
    <w:rsid w:val="77C0523A"/>
    <w:rsid w:val="77F76316"/>
    <w:rsid w:val="7814538E"/>
    <w:rsid w:val="78D53835"/>
    <w:rsid w:val="79171CF4"/>
    <w:rsid w:val="791B66F1"/>
    <w:rsid w:val="792454C1"/>
    <w:rsid w:val="79291653"/>
    <w:rsid w:val="79F964A8"/>
    <w:rsid w:val="7A007F6F"/>
    <w:rsid w:val="7A142B15"/>
    <w:rsid w:val="7B67524B"/>
    <w:rsid w:val="7B7F0B91"/>
    <w:rsid w:val="7B7FE06A"/>
    <w:rsid w:val="7BA256CB"/>
    <w:rsid w:val="7BBD00DC"/>
    <w:rsid w:val="7BF82A26"/>
    <w:rsid w:val="7C1274E5"/>
    <w:rsid w:val="7CD86504"/>
    <w:rsid w:val="7D0833B6"/>
    <w:rsid w:val="7D0F3773"/>
    <w:rsid w:val="7D9065E6"/>
    <w:rsid w:val="7DBA6ED4"/>
    <w:rsid w:val="7E2D0578"/>
    <w:rsid w:val="7E393025"/>
    <w:rsid w:val="7E7F0A86"/>
    <w:rsid w:val="7ED673D6"/>
    <w:rsid w:val="7EE6499F"/>
    <w:rsid w:val="7EEA0609"/>
    <w:rsid w:val="7F1E6AB2"/>
    <w:rsid w:val="7F5FF5F2"/>
    <w:rsid w:val="7F778029"/>
    <w:rsid w:val="7F778A24"/>
    <w:rsid w:val="7F78789E"/>
    <w:rsid w:val="7FD6875E"/>
    <w:rsid w:val="7FDE745D"/>
    <w:rsid w:val="7FE3C256"/>
    <w:rsid w:val="7FE4E25F"/>
    <w:rsid w:val="7FEF3251"/>
    <w:rsid w:val="7FEF4BEE"/>
    <w:rsid w:val="7FF667FE"/>
    <w:rsid w:val="7FF6A21E"/>
    <w:rsid w:val="7FFD91C1"/>
    <w:rsid w:val="7FFE24A4"/>
    <w:rsid w:val="7FFFAA9D"/>
    <w:rsid w:val="9FBFE46B"/>
    <w:rsid w:val="9FF5F7B9"/>
    <w:rsid w:val="A3095E00"/>
    <w:rsid w:val="B3770C55"/>
    <w:rsid w:val="B3E7A915"/>
    <w:rsid w:val="B7A7A54A"/>
    <w:rsid w:val="B7DBB0EF"/>
    <w:rsid w:val="B9BBA510"/>
    <w:rsid w:val="BEF72C48"/>
    <w:rsid w:val="BF74DE20"/>
    <w:rsid w:val="CB9BEC9D"/>
    <w:rsid w:val="CC7B4BBE"/>
    <w:rsid w:val="D55F8019"/>
    <w:rsid w:val="D7BE12A2"/>
    <w:rsid w:val="DAEEF2C2"/>
    <w:rsid w:val="DC7BA520"/>
    <w:rsid w:val="DEBB4515"/>
    <w:rsid w:val="E3BBC6B5"/>
    <w:rsid w:val="E5DD1575"/>
    <w:rsid w:val="E67FE6E0"/>
    <w:rsid w:val="E8EFCEDD"/>
    <w:rsid w:val="ED5E6ED7"/>
    <w:rsid w:val="EEFE12F9"/>
    <w:rsid w:val="EF399C17"/>
    <w:rsid w:val="EFBC3D90"/>
    <w:rsid w:val="EFFF01A6"/>
    <w:rsid w:val="EFFFEE1D"/>
    <w:rsid w:val="F3ED3361"/>
    <w:rsid w:val="F5BB4870"/>
    <w:rsid w:val="F5EE0A98"/>
    <w:rsid w:val="F72E6AAD"/>
    <w:rsid w:val="F7B7889C"/>
    <w:rsid w:val="F7CF3262"/>
    <w:rsid w:val="F99975A9"/>
    <w:rsid w:val="FB5B438D"/>
    <w:rsid w:val="FCEEEADA"/>
    <w:rsid w:val="FD312C2F"/>
    <w:rsid w:val="FDEF019B"/>
    <w:rsid w:val="FDFA1E9D"/>
    <w:rsid w:val="FDFDF066"/>
    <w:rsid w:val="FE3E7F98"/>
    <w:rsid w:val="FEE79DEC"/>
    <w:rsid w:val="FEFB6DBD"/>
    <w:rsid w:val="FF6F2623"/>
    <w:rsid w:val="FFBB3358"/>
    <w:rsid w:val="FFEDBCA8"/>
    <w:rsid w:val="FFF29A2C"/>
    <w:rsid w:val="FFFFA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9"/>
    <w:pPr>
      <w:keepNext/>
      <w:keepLines/>
      <w:spacing w:before="120" w:after="120" w:line="480" w:lineRule="auto"/>
      <w:outlineLvl w:val="0"/>
    </w:pPr>
    <w:rPr>
      <w:rFonts w:ascii="Calibri" w:hAnsi="Calibri" w:eastAsia="黑体" w:cs="黑体"/>
      <w:b/>
      <w:bCs/>
      <w:kern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Cambria" w:hAnsi="Cambria" w:eastAsia="楷体" w:cs="黑体"/>
      <w:b/>
      <w:bCs/>
      <w:szCs w:val="32"/>
    </w:rPr>
  </w:style>
  <w:style w:type="paragraph" w:styleId="5">
    <w:name w:val="heading 3"/>
    <w:basedOn w:val="1"/>
    <w:next w:val="1"/>
    <w:link w:val="28"/>
    <w:unhideWhenUsed/>
    <w:qFormat/>
    <w:uiPriority w:val="9"/>
    <w:pPr>
      <w:keepNext/>
      <w:keepLines/>
      <w:spacing w:before="120" w:after="120" w:line="360" w:lineRule="auto"/>
      <w:outlineLvl w:val="2"/>
    </w:pPr>
    <w:rPr>
      <w:rFonts w:eastAsia="楷体"/>
      <w:b/>
      <w:bCs/>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80"/>
    </w:pPr>
    <w:rPr>
      <w:rFonts w:eastAsia="宋体" w:cs="宋体"/>
      <w:i/>
      <w:sz w:val="20"/>
      <w:szCs w:val="22"/>
    </w:rPr>
  </w:style>
  <w:style w:type="paragraph" w:styleId="6">
    <w:name w:val="Document Map"/>
    <w:basedOn w:val="1"/>
    <w:link w:val="30"/>
    <w:unhideWhenUsed/>
    <w:qFormat/>
    <w:uiPriority w:val="99"/>
    <w:rPr>
      <w:rFonts w:ascii="宋体" w:eastAsia="宋体"/>
      <w:sz w:val="18"/>
      <w:szCs w:val="18"/>
    </w:rPr>
  </w:style>
  <w:style w:type="paragraph" w:styleId="7">
    <w:name w:val="annotation text"/>
    <w:basedOn w:val="1"/>
    <w:link w:val="34"/>
    <w:unhideWhenUsed/>
    <w:qFormat/>
    <w:uiPriority w:val="99"/>
    <w:pPr>
      <w:jc w:val="left"/>
    </w:pPr>
  </w:style>
  <w:style w:type="paragraph" w:styleId="8">
    <w:name w:val="Body Text"/>
    <w:basedOn w:val="1"/>
    <w:next w:val="1"/>
    <w:unhideWhenUsed/>
    <w:qFormat/>
    <w:uiPriority w:val="99"/>
    <w:pPr>
      <w:spacing w:after="120"/>
    </w:pPr>
  </w:style>
  <w:style w:type="paragraph" w:styleId="9">
    <w:name w:val="Balloon Text"/>
    <w:basedOn w:val="1"/>
    <w:link w:val="33"/>
    <w:unhideWhenUsed/>
    <w:qFormat/>
    <w:uiPriority w:val="99"/>
    <w:rPr>
      <w:rFonts w:ascii="宋体" w:eastAsia="宋体"/>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Autospacing="1" w:afterAutospacing="1"/>
      <w:jc w:val="left"/>
    </w:pPr>
    <w:rPr>
      <w:kern w:val="0"/>
      <w:sz w:val="24"/>
    </w:rPr>
  </w:style>
  <w:style w:type="paragraph" w:styleId="15">
    <w:name w:val="annotation subject"/>
    <w:basedOn w:val="7"/>
    <w:next w:val="7"/>
    <w:link w:val="35"/>
    <w:unhideWhenUsed/>
    <w:qFormat/>
    <w:uiPriority w:val="99"/>
    <w:rPr>
      <w:b/>
      <w:bCs/>
    </w:rPr>
  </w:style>
  <w:style w:type="paragraph" w:styleId="16">
    <w:name w:val="Body Text First Indent"/>
    <w:basedOn w:val="8"/>
    <w:unhideWhenUsed/>
    <w:qFormat/>
    <w:uiPriority w:val="99"/>
    <w:pPr>
      <w:widowControl/>
      <w:adjustRightInd w:val="0"/>
      <w:snapToGrid w:val="0"/>
      <w:spacing w:after="0"/>
      <w:ind w:firstLine="420" w:firstLineChars="100"/>
      <w:jc w:val="left"/>
    </w:pPr>
    <w:rPr>
      <w:rFonts w:eastAsia="宋体"/>
      <w:kern w:val="0"/>
      <w:sz w:val="30"/>
      <w:szCs w:val="20"/>
    </w:rPr>
  </w:style>
  <w:style w:type="table" w:styleId="18">
    <w:name w:val="Table Grid"/>
    <w:basedOn w:val="17"/>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basedOn w:val="19"/>
    <w:unhideWhenUsed/>
    <w:qFormat/>
    <w:uiPriority w:val="99"/>
    <w:rPr>
      <w:sz w:val="21"/>
      <w:szCs w:val="21"/>
    </w:rPr>
  </w:style>
  <w:style w:type="paragraph" w:customStyle="1" w:styleId="22">
    <w:name w:val="WPSOffice手动目录 1"/>
    <w:qFormat/>
    <w:uiPriority w:val="0"/>
    <w:rPr>
      <w:rFonts w:ascii="Calibri" w:hAnsi="Calibri" w:eastAsia="宋体" w:cs="黑体"/>
      <w:lang w:val="en-US" w:eastAsia="zh-CN" w:bidi="ar-SA"/>
    </w:rPr>
  </w:style>
  <w:style w:type="paragraph" w:customStyle="1" w:styleId="23">
    <w:name w:val="WPSOffice手动目录 2"/>
    <w:qFormat/>
    <w:uiPriority w:val="0"/>
    <w:pPr>
      <w:ind w:left="200" w:leftChars="200"/>
    </w:pPr>
    <w:rPr>
      <w:rFonts w:ascii="Calibri" w:hAnsi="Calibri" w:eastAsia="宋体" w:cs="黑体"/>
      <w:lang w:val="en-US" w:eastAsia="zh-CN" w:bidi="ar-SA"/>
    </w:rPr>
  </w:style>
  <w:style w:type="paragraph" w:customStyle="1" w:styleId="24">
    <w:name w:val="WPSOffice手动目录 3"/>
    <w:qFormat/>
    <w:uiPriority w:val="0"/>
    <w:pPr>
      <w:ind w:left="400" w:leftChars="400"/>
    </w:pPr>
    <w:rPr>
      <w:rFonts w:ascii="Calibri" w:hAnsi="Calibri" w:eastAsia="宋体" w:cs="黑体"/>
      <w:lang w:val="en-US" w:eastAsia="zh-CN" w:bidi="ar-SA"/>
    </w:rPr>
  </w:style>
  <w:style w:type="paragraph" w:customStyle="1" w:styleId="25">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6">
    <w:name w:val="标题 1 字符"/>
    <w:basedOn w:val="19"/>
    <w:link w:val="3"/>
    <w:qFormat/>
    <w:uiPriority w:val="9"/>
    <w:rPr>
      <w:rFonts w:eastAsia="黑体"/>
      <w:b/>
      <w:bCs/>
      <w:kern w:val="44"/>
      <w:sz w:val="32"/>
      <w:szCs w:val="44"/>
    </w:rPr>
  </w:style>
  <w:style w:type="character" w:customStyle="1" w:styleId="27">
    <w:name w:val="标题 2 字符"/>
    <w:basedOn w:val="19"/>
    <w:link w:val="4"/>
    <w:qFormat/>
    <w:uiPriority w:val="9"/>
    <w:rPr>
      <w:rFonts w:ascii="Cambria" w:hAnsi="Cambria" w:eastAsia="楷体" w:cs="黑体"/>
      <w:b/>
      <w:bCs/>
      <w:kern w:val="2"/>
      <w:sz w:val="32"/>
      <w:szCs w:val="32"/>
    </w:rPr>
  </w:style>
  <w:style w:type="character" w:customStyle="1" w:styleId="28">
    <w:name w:val="标题 3 字符"/>
    <w:basedOn w:val="19"/>
    <w:link w:val="5"/>
    <w:qFormat/>
    <w:uiPriority w:val="9"/>
    <w:rPr>
      <w:rFonts w:ascii="Times New Roman" w:hAnsi="Times New Roman" w:eastAsia="楷体" w:cs="Times New Roman"/>
      <w:b/>
      <w:bCs/>
      <w:sz w:val="32"/>
      <w:szCs w:val="32"/>
    </w:rPr>
  </w:style>
  <w:style w:type="character" w:customStyle="1" w:styleId="29">
    <w:name w:val="页脚 字符"/>
    <w:basedOn w:val="19"/>
    <w:link w:val="10"/>
    <w:qFormat/>
    <w:uiPriority w:val="99"/>
    <w:rPr>
      <w:rFonts w:ascii="Times New Roman" w:hAnsi="Times New Roman" w:eastAsia="仿宋_GB2312" w:cs="Times New Roman"/>
      <w:sz w:val="18"/>
      <w:szCs w:val="18"/>
    </w:rPr>
  </w:style>
  <w:style w:type="character" w:customStyle="1" w:styleId="30">
    <w:name w:val="文档结构图 字符"/>
    <w:basedOn w:val="19"/>
    <w:link w:val="6"/>
    <w:semiHidden/>
    <w:qFormat/>
    <w:uiPriority w:val="99"/>
    <w:rPr>
      <w:rFonts w:ascii="宋体" w:hAnsi="Times New Roman" w:eastAsia="宋体" w:cs="Times New Roman"/>
      <w:sz w:val="18"/>
      <w:szCs w:val="18"/>
    </w:rPr>
  </w:style>
  <w:style w:type="character" w:customStyle="1" w:styleId="31">
    <w:name w:val="页眉 字符"/>
    <w:basedOn w:val="19"/>
    <w:link w:val="11"/>
    <w:semiHidden/>
    <w:qFormat/>
    <w:uiPriority w:val="99"/>
    <w:rPr>
      <w:rFonts w:ascii="Times New Roman" w:hAnsi="Times New Roman" w:eastAsia="仿宋_GB2312" w:cs="Times New Roman"/>
      <w:sz w:val="18"/>
      <w:szCs w:val="18"/>
    </w:rPr>
  </w:style>
  <w:style w:type="character" w:customStyle="1" w:styleId="32">
    <w:name w:val="fontstyle11"/>
    <w:qFormat/>
    <w:uiPriority w:val="0"/>
    <w:rPr>
      <w:rFonts w:hint="eastAsia" w:ascii="仿宋_GB2312" w:eastAsia="仿宋_GB2312"/>
      <w:color w:val="000000"/>
      <w:sz w:val="32"/>
      <w:szCs w:val="32"/>
    </w:rPr>
  </w:style>
  <w:style w:type="character" w:customStyle="1" w:styleId="33">
    <w:name w:val="批注框文本 字符"/>
    <w:basedOn w:val="19"/>
    <w:link w:val="9"/>
    <w:semiHidden/>
    <w:qFormat/>
    <w:uiPriority w:val="99"/>
    <w:rPr>
      <w:rFonts w:ascii="宋体" w:hAnsi="Times New Roman" w:eastAsia="宋体" w:cs="Times New Roman"/>
      <w:kern w:val="2"/>
      <w:sz w:val="18"/>
      <w:szCs w:val="18"/>
    </w:rPr>
  </w:style>
  <w:style w:type="character" w:customStyle="1" w:styleId="34">
    <w:name w:val="批注文字 字符"/>
    <w:basedOn w:val="19"/>
    <w:link w:val="7"/>
    <w:qFormat/>
    <w:uiPriority w:val="99"/>
    <w:rPr>
      <w:rFonts w:ascii="Times New Roman" w:hAnsi="Times New Roman" w:eastAsia="仿宋_GB2312" w:cs="Times New Roman"/>
      <w:kern w:val="2"/>
      <w:sz w:val="32"/>
      <w:szCs w:val="24"/>
    </w:rPr>
  </w:style>
  <w:style w:type="character" w:customStyle="1" w:styleId="35">
    <w:name w:val="批注主题 字符"/>
    <w:basedOn w:val="34"/>
    <w:link w:val="15"/>
    <w:semiHidden/>
    <w:qFormat/>
    <w:uiPriority w:val="99"/>
    <w:rPr>
      <w:rFonts w:ascii="Times New Roman" w:hAnsi="Times New Roman" w:eastAsia="仿宋_GB2312" w:cs="Times New Roman"/>
      <w:b/>
      <w:bCs/>
      <w:kern w:val="2"/>
      <w:sz w:val="32"/>
      <w:szCs w:val="24"/>
    </w:rPr>
  </w:style>
  <w:style w:type="character" w:customStyle="1" w:styleId="36">
    <w:name w:val="bjh-p"/>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5be15f-e0a8-4122-a2cd-7fb016418100}"/>
        <w:style w:val=""/>
        <w:category>
          <w:name w:val="常规"/>
          <w:gallery w:val="placeholder"/>
        </w:category>
        <w:types>
          <w:type w:val="bbPlcHdr"/>
        </w:types>
        <w:behaviors>
          <w:behavior w:val="content"/>
        </w:behaviors>
        <w:description w:val=""/>
        <w:guid w:val="{5c5be15f-e0a8-4122-a2cd-7fb016418100}"/>
      </w:docPartPr>
      <w:docPartBody>
        <w:p>
          <w:r>
            <w:rPr>
              <w:color w:val="808080"/>
            </w:rPr>
            <w:t>单击此处输入文字。</w:t>
          </w:r>
        </w:p>
      </w:docPartBody>
    </w:docPart>
    <w:docPart>
      <w:docPartPr>
        <w:name w:val="{7d6ff832-84f3-472b-99ed-3ad5716f612c}"/>
        <w:style w:val=""/>
        <w:category>
          <w:name w:val="常规"/>
          <w:gallery w:val="placeholder"/>
        </w:category>
        <w:types>
          <w:type w:val="bbPlcHdr"/>
        </w:types>
        <w:behaviors>
          <w:behavior w:val="content"/>
        </w:behaviors>
        <w:description w:val=""/>
        <w:guid w:val="{7d6ff832-84f3-472b-99ed-3ad5716f612c}"/>
      </w:docPartPr>
      <w:docPartBody>
        <w:p>
          <w:r>
            <w:rPr>
              <w:color w:val="808080"/>
            </w:rPr>
            <w:t>单击此处输入文字。</w:t>
          </w:r>
        </w:p>
      </w:docPartBody>
    </w:docPart>
    <w:docPart>
      <w:docPartPr>
        <w:name w:val="{70208ce6-786d-4ba1-9a81-4b76627ab766}"/>
        <w:style w:val=""/>
        <w:category>
          <w:name w:val="常规"/>
          <w:gallery w:val="placeholder"/>
        </w:category>
        <w:types>
          <w:type w:val="bbPlcHdr"/>
        </w:types>
        <w:behaviors>
          <w:behavior w:val="content"/>
        </w:behaviors>
        <w:description w:val=""/>
        <w:guid w:val="{70208ce6-786d-4ba1-9a81-4b76627ab766}"/>
      </w:docPartPr>
      <w:docPartBody>
        <w:p>
          <w:r>
            <w:rPr>
              <w:color w:val="808080"/>
            </w:rPr>
            <w:t>单击此处输入文字。</w:t>
          </w:r>
        </w:p>
      </w:docPartBody>
    </w:docPart>
    <w:docPart>
      <w:docPartPr>
        <w:name w:val="{79116c87-f91b-454d-b515-054fb4abc754}"/>
        <w:style w:val=""/>
        <w:category>
          <w:name w:val="常规"/>
          <w:gallery w:val="placeholder"/>
        </w:category>
        <w:types>
          <w:type w:val="bbPlcHdr"/>
        </w:types>
        <w:behaviors>
          <w:behavior w:val="content"/>
        </w:behaviors>
        <w:description w:val=""/>
        <w:guid w:val="{79116c87-f91b-454d-b515-054fb4abc754}"/>
      </w:docPartPr>
      <w:docPartBody>
        <w:p>
          <w:r>
            <w:rPr>
              <w:color w:val="808080"/>
            </w:rPr>
            <w:t>单击此处输入文字。</w:t>
          </w:r>
        </w:p>
      </w:docPartBody>
    </w:docPart>
    <w:docPart>
      <w:docPartPr>
        <w:name w:val="{f8254ef1-de54-4e49-b9b0-877e47dd2a16}"/>
        <w:style w:val=""/>
        <w:category>
          <w:name w:val="常规"/>
          <w:gallery w:val="placeholder"/>
        </w:category>
        <w:types>
          <w:type w:val="bbPlcHdr"/>
        </w:types>
        <w:behaviors>
          <w:behavior w:val="content"/>
        </w:behaviors>
        <w:description w:val=""/>
        <w:guid w:val="{f8254ef1-de54-4e49-b9b0-877e47dd2a16}"/>
      </w:docPartPr>
      <w:docPartBody>
        <w:p>
          <w:r>
            <w:rPr>
              <w:color w:val="808080"/>
            </w:rPr>
            <w:t>单击此处输入文字。</w:t>
          </w:r>
        </w:p>
      </w:docPartBody>
    </w:docPart>
    <w:docPart>
      <w:docPartPr>
        <w:name w:val="{9358f03f-9df0-46fd-864b-b6c3a1194146}"/>
        <w:style w:val=""/>
        <w:category>
          <w:name w:val="常规"/>
          <w:gallery w:val="placeholder"/>
        </w:category>
        <w:types>
          <w:type w:val="bbPlcHdr"/>
        </w:types>
        <w:behaviors>
          <w:behavior w:val="content"/>
        </w:behaviors>
        <w:description w:val=""/>
        <w:guid w:val="{9358f03f-9df0-46fd-864b-b6c3a1194146}"/>
      </w:docPartPr>
      <w:docPartBody>
        <w:p>
          <w:r>
            <w:rPr>
              <w:color w:val="808080"/>
            </w:rPr>
            <w:t>单击此处输入文字。</w:t>
          </w:r>
        </w:p>
      </w:docPartBody>
    </w:docPart>
    <w:docPart>
      <w:docPartPr>
        <w:name w:val="{003b6d91-a662-4b96-a768-b6eb73ac6caa}"/>
        <w:style w:val=""/>
        <w:category>
          <w:name w:val="常规"/>
          <w:gallery w:val="placeholder"/>
        </w:category>
        <w:types>
          <w:type w:val="bbPlcHdr"/>
        </w:types>
        <w:behaviors>
          <w:behavior w:val="content"/>
        </w:behaviors>
        <w:description w:val=""/>
        <w:guid w:val="{003b6d91-a662-4b96-a768-b6eb73ac6caa}"/>
      </w:docPartPr>
      <w:docPartBody>
        <w:p>
          <w:r>
            <w:rPr>
              <w:color w:val="808080"/>
            </w:rPr>
            <w:t>单击此处输入文字。</w:t>
          </w:r>
        </w:p>
      </w:docPartBody>
    </w:docPart>
    <w:docPart>
      <w:docPartPr>
        <w:name w:val="{9f42ff5d-e588-4a12-8829-0b96476d39e2}"/>
        <w:style w:val=""/>
        <w:category>
          <w:name w:val="常规"/>
          <w:gallery w:val="placeholder"/>
        </w:category>
        <w:types>
          <w:type w:val="bbPlcHdr"/>
        </w:types>
        <w:behaviors>
          <w:behavior w:val="content"/>
        </w:behaviors>
        <w:description w:val=""/>
        <w:guid w:val="{9f42ff5d-e588-4a12-8829-0b96476d39e2}"/>
      </w:docPartPr>
      <w:docPartBody>
        <w:p>
          <w:r>
            <w:rPr>
              <w:color w:val="808080"/>
            </w:rPr>
            <w:t>单击此处输入文字。</w:t>
          </w:r>
        </w:p>
      </w:docPartBody>
    </w:docPart>
    <w:docPart>
      <w:docPartPr>
        <w:name w:val="{42f8fd46-f04b-4b11-a6d7-8c51b68f0121}"/>
        <w:style w:val=""/>
        <w:category>
          <w:name w:val="常规"/>
          <w:gallery w:val="placeholder"/>
        </w:category>
        <w:types>
          <w:type w:val="bbPlcHdr"/>
        </w:types>
        <w:behaviors>
          <w:behavior w:val="content"/>
        </w:behaviors>
        <w:description w:val=""/>
        <w:guid w:val="{42f8fd46-f04b-4b11-a6d7-8c51b68f0121}"/>
      </w:docPartPr>
      <w:docPartBody>
        <w:p>
          <w:r>
            <w:rPr>
              <w:color w:val="808080"/>
            </w:rPr>
            <w:t>单击此处输入文字。</w:t>
          </w:r>
        </w:p>
      </w:docPartBody>
    </w:docPart>
    <w:docPart>
      <w:docPartPr>
        <w:name w:val="{fbbe0506-3863-4ce2-a61d-350fc0ce6c00}"/>
        <w:style w:val=""/>
        <w:category>
          <w:name w:val="常规"/>
          <w:gallery w:val="placeholder"/>
        </w:category>
        <w:types>
          <w:type w:val="bbPlcHdr"/>
        </w:types>
        <w:behaviors>
          <w:behavior w:val="content"/>
        </w:behaviors>
        <w:description w:val=""/>
        <w:guid w:val="{fbbe0506-3863-4ce2-a61d-350fc0ce6c00}"/>
      </w:docPartPr>
      <w:docPartBody>
        <w:p>
          <w:r>
            <w:rPr>
              <w:color w:val="808080"/>
            </w:rPr>
            <w:t>单击此处输入文字。</w:t>
          </w:r>
        </w:p>
      </w:docPartBody>
    </w:docPart>
    <w:docPart>
      <w:docPartPr>
        <w:name w:val="{c01efa0f-5f75-4c2a-833a-f342c67848f0}"/>
        <w:style w:val=""/>
        <w:category>
          <w:name w:val="常规"/>
          <w:gallery w:val="placeholder"/>
        </w:category>
        <w:types>
          <w:type w:val="bbPlcHdr"/>
        </w:types>
        <w:behaviors>
          <w:behavior w:val="content"/>
        </w:behaviors>
        <w:description w:val=""/>
        <w:guid w:val="{c01efa0f-5f75-4c2a-833a-f342c67848f0}"/>
      </w:docPartPr>
      <w:docPartBody>
        <w:p>
          <w:r>
            <w:rPr>
              <w:color w:val="808080"/>
            </w:rPr>
            <w:t>单击此处输入文字。</w:t>
          </w:r>
        </w:p>
      </w:docPartBody>
    </w:docPart>
    <w:docPart>
      <w:docPartPr>
        <w:name w:val="{380cb971-5d7b-4410-be46-10a770f69434}"/>
        <w:style w:val=""/>
        <w:category>
          <w:name w:val="常规"/>
          <w:gallery w:val="placeholder"/>
        </w:category>
        <w:types>
          <w:type w:val="bbPlcHdr"/>
        </w:types>
        <w:behaviors>
          <w:behavior w:val="content"/>
        </w:behaviors>
        <w:description w:val=""/>
        <w:guid w:val="{380cb971-5d7b-4410-be46-10a770f69434}"/>
      </w:docPartPr>
      <w:docPartBody>
        <w:p>
          <w:r>
            <w:rPr>
              <w:color w:val="808080"/>
            </w:rPr>
            <w:t>单击此处输入文字。</w:t>
          </w:r>
        </w:p>
      </w:docPartBody>
    </w:docPart>
    <w:docPart>
      <w:docPartPr>
        <w:name w:val="{02cbf305-507a-418c-91c5-6426fc9d43ac}"/>
        <w:style w:val=""/>
        <w:category>
          <w:name w:val="常规"/>
          <w:gallery w:val="placeholder"/>
        </w:category>
        <w:types>
          <w:type w:val="bbPlcHdr"/>
        </w:types>
        <w:behaviors>
          <w:behavior w:val="content"/>
        </w:behaviors>
        <w:description w:val=""/>
        <w:guid w:val="{02cbf305-507a-418c-91c5-6426fc9d43ac}"/>
      </w:docPartPr>
      <w:docPartBody>
        <w:p>
          <w:r>
            <w:rPr>
              <w:color w:val="808080"/>
            </w:rPr>
            <w:t>单击此处输入文字。</w:t>
          </w:r>
        </w:p>
      </w:docPartBody>
    </w:docPart>
    <w:docPart>
      <w:docPartPr>
        <w:name w:val="{c674a56c-d10f-4510-9f21-9262e98fc156}"/>
        <w:style w:val=""/>
        <w:category>
          <w:name w:val="常规"/>
          <w:gallery w:val="placeholder"/>
        </w:category>
        <w:types>
          <w:type w:val="bbPlcHdr"/>
        </w:types>
        <w:behaviors>
          <w:behavior w:val="content"/>
        </w:behaviors>
        <w:description w:val=""/>
        <w:guid w:val="{c674a56c-d10f-4510-9f21-9262e98fc156}"/>
      </w:docPartPr>
      <w:docPartBody>
        <w:p>
          <w:r>
            <w:rPr>
              <w:color w:val="808080"/>
            </w:rPr>
            <w:t>单击此处输入文字。</w:t>
          </w:r>
        </w:p>
      </w:docPartBody>
    </w:docPart>
    <w:docPart>
      <w:docPartPr>
        <w:name w:val="{28e807f3-3d89-457e-909f-4c9e9edbbee5}"/>
        <w:style w:val=""/>
        <w:category>
          <w:name w:val="常规"/>
          <w:gallery w:val="placeholder"/>
        </w:category>
        <w:types>
          <w:type w:val="bbPlcHdr"/>
        </w:types>
        <w:behaviors>
          <w:behavior w:val="content"/>
        </w:behaviors>
        <w:description w:val=""/>
        <w:guid w:val="{28e807f3-3d89-457e-909f-4c9e9edbbee5}"/>
      </w:docPartPr>
      <w:docPartBody>
        <w:p>
          <w:r>
            <w:rPr>
              <w:color w:val="808080"/>
            </w:rPr>
            <w:t>单击此处输入文字。</w:t>
          </w:r>
        </w:p>
      </w:docPartBody>
    </w:docPart>
    <w:docPart>
      <w:docPartPr>
        <w:name w:val="{37ec8504-fef6-4879-9604-b356b6f5afb3}"/>
        <w:style w:val=""/>
        <w:category>
          <w:name w:val="常规"/>
          <w:gallery w:val="placeholder"/>
        </w:category>
        <w:types>
          <w:type w:val="bbPlcHdr"/>
        </w:types>
        <w:behaviors>
          <w:behavior w:val="content"/>
        </w:behaviors>
        <w:description w:val=""/>
        <w:guid w:val="{37ec8504-fef6-4879-9604-b356b6f5afb3}"/>
      </w:docPartPr>
      <w:docPartBody>
        <w:p>
          <w:r>
            <w:rPr>
              <w:color w:val="808080"/>
            </w:rPr>
            <w:t>单击此处输入文字。</w:t>
          </w:r>
        </w:p>
      </w:docPartBody>
    </w:docPart>
    <w:docPart>
      <w:docPartPr>
        <w:name w:val="{670f2dd0-8bd5-45db-a52c-441d07895481}"/>
        <w:style w:val=""/>
        <w:category>
          <w:name w:val="常规"/>
          <w:gallery w:val="placeholder"/>
        </w:category>
        <w:types>
          <w:type w:val="bbPlcHdr"/>
        </w:types>
        <w:behaviors>
          <w:behavior w:val="content"/>
        </w:behaviors>
        <w:description w:val=""/>
        <w:guid w:val="{670f2dd0-8bd5-45db-a52c-441d07895481}"/>
      </w:docPartPr>
      <w:docPartBody>
        <w:p>
          <w:r>
            <w:rPr>
              <w:color w:val="808080"/>
            </w:rPr>
            <w:t>单击此处输入文字。</w:t>
          </w:r>
        </w:p>
      </w:docPartBody>
    </w:docPart>
    <w:docPart>
      <w:docPartPr>
        <w:name w:val="{d6bcee76-65f3-4ce4-ad0e-81761e07696b}"/>
        <w:style w:val=""/>
        <w:category>
          <w:name w:val="常规"/>
          <w:gallery w:val="placeholder"/>
        </w:category>
        <w:types>
          <w:type w:val="bbPlcHdr"/>
        </w:types>
        <w:behaviors>
          <w:behavior w:val="content"/>
        </w:behaviors>
        <w:description w:val=""/>
        <w:guid w:val="{d6bcee76-65f3-4ce4-ad0e-81761e07696b}"/>
      </w:docPartPr>
      <w:docPartBody>
        <w:p>
          <w:r>
            <w:rPr>
              <w:color w:val="808080"/>
            </w:rPr>
            <w:t>单击此处输入文字。</w:t>
          </w:r>
        </w:p>
      </w:docPartBody>
    </w:docPart>
    <w:docPart>
      <w:docPartPr>
        <w:name w:val="{3ff5afd3-6b8e-4b40-a5fb-752df39524ec}"/>
        <w:style w:val=""/>
        <w:category>
          <w:name w:val="常规"/>
          <w:gallery w:val="placeholder"/>
        </w:category>
        <w:types>
          <w:type w:val="bbPlcHdr"/>
        </w:types>
        <w:behaviors>
          <w:behavior w:val="content"/>
        </w:behaviors>
        <w:description w:val=""/>
        <w:guid w:val="{3ff5afd3-6b8e-4b40-a5fb-752df39524ec}"/>
      </w:docPartPr>
      <w:docPartBody>
        <w:p>
          <w:r>
            <w:rPr>
              <w:color w:val="808080"/>
            </w:rPr>
            <w:t>单击此处输入文字。</w:t>
          </w:r>
        </w:p>
      </w:docPartBody>
    </w:docPart>
    <w:docPart>
      <w:docPartPr>
        <w:name w:val="{b8d83847-312c-4b8c-88bc-5df1f98fdd9d}"/>
        <w:style w:val=""/>
        <w:category>
          <w:name w:val="常规"/>
          <w:gallery w:val="placeholder"/>
        </w:category>
        <w:types>
          <w:type w:val="bbPlcHdr"/>
        </w:types>
        <w:behaviors>
          <w:behavior w:val="content"/>
        </w:behaviors>
        <w:description w:val=""/>
        <w:guid w:val="{b8d83847-312c-4b8c-88bc-5df1f98fdd9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2097</Words>
  <Characters>11954</Characters>
  <Lines>99</Lines>
  <Paragraphs>28</Paragraphs>
  <TotalTime>1</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2021-11-28T07:59:00Z</dcterms:created>
  <dc:creator>Ellen</dc:creator>
  <cp:lastModifiedBy>user</cp:lastModifiedBy>
  <cp:lastPrinted>2022-01-14T11:07:06Z</cp:lastPrinted>
  <dcterms:modified xsi:type="dcterms:W3CDTF">2022-01-14T15:43:36Z</dcterms:modified>
  <dc:title> “十四五”时期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BAC39E6599824268A756FAAFFFEF237E</vt:lpwstr>
  </property>
</Properties>
</file>