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9D812">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方正小标宋简体" w:hAnsi="方正小标宋简体" w:eastAsia="方正小标宋简体" w:cs="方正小标宋简体"/>
          <w:sz w:val="44"/>
          <w:szCs w:val="44"/>
        </w:rPr>
      </w:pPr>
      <w:r>
        <w:rPr>
          <w:rFonts w:hint="eastAsia" w:ascii="黑体" w:hAnsi="黑体" w:eastAsia="黑体" w:cs="黑体"/>
          <w:color w:val="333333"/>
          <w:spacing w:val="15"/>
          <w:kern w:val="0"/>
          <w:sz w:val="32"/>
          <w:szCs w:val="32"/>
          <w:shd w:val="clear" w:color="auto" w:fill="FFFFFF"/>
        </w:rPr>
        <w:t>附件</w:t>
      </w:r>
    </w:p>
    <w:p w14:paraId="75A907B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经开区2026年数据券补贴</w:t>
      </w:r>
    </w:p>
    <w:p w14:paraId="6638487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200C1F6A">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p>
    <w:p w14:paraId="640DE1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1FF2A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北京经济技术开发区关于加快推进数据产业高质量发展的若干措施》（京技管发〔2025〕16号）第八条“每年发放1亿元“数据券”，利用合规数据流通交易平台，支持企业采购数据集、数据接口、数据模型等数据产品，按照年度数据交易金额的10%，给予采购主体“数据券”补贴，单个采购主体年度补贴最高不超过100万元</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w:t>
      </w:r>
    </w:p>
    <w:p w14:paraId="1CA16F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二、申报事项</w:t>
      </w:r>
    </w:p>
    <w:p w14:paraId="1EE75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lang w:val="en-US" w:eastAsia="zh-CN"/>
        </w:rPr>
        <w:t>经开区2026</w:t>
      </w:r>
      <w:r>
        <w:rPr>
          <w:rFonts w:hint="eastAsia" w:eastAsia="仿宋_GB2312" w:cs="仿宋_GB2312"/>
          <w:sz w:val="32"/>
          <w:szCs w:val="32"/>
          <w:lang w:val="en-US" w:eastAsia="zh-CN"/>
        </w:rPr>
        <w:t>年数据券补贴</w:t>
      </w:r>
    </w:p>
    <w:p w14:paraId="43343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0435D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64" w:firstLineChars="200"/>
        <w:jc w:val="both"/>
        <w:textAlignment w:val="auto"/>
        <w:outlineLvl w:val="9"/>
        <w:rPr>
          <w:rFonts w:hint="eastAsia" w:ascii="仿宋_GB2312" w:hAnsi="方正小标宋简体" w:eastAsia="仿宋_GB2312" w:cs="Times New Roman"/>
          <w:kern w:val="2"/>
          <w:sz w:val="32"/>
          <w:szCs w:val="32"/>
          <w:lang w:val="en-US" w:eastAsia="zh-CN" w:bidi="ar-SA"/>
        </w:rPr>
      </w:pPr>
      <w:r>
        <w:rPr>
          <w:rFonts w:hint="eastAsia" w:ascii="仿宋_GB2312" w:hAnsi="仿宋_GB2312" w:eastAsia="仿宋_GB2312" w:cs="仿宋_GB2312"/>
          <w:spacing w:val="6"/>
          <w:sz w:val="32"/>
          <w:szCs w:val="32"/>
          <w:highlight w:val="none"/>
          <w:lang w:val="en-US" w:eastAsia="zh-CN"/>
        </w:rPr>
        <w:t>（一）</w:t>
      </w:r>
      <w:r>
        <w:rPr>
          <w:rFonts w:ascii="仿宋_GB2312" w:hAnsi="仿宋_GB2312" w:eastAsia="仿宋_GB2312" w:cs="仿宋_GB2312"/>
          <w:spacing w:val="6"/>
          <w:sz w:val="32"/>
          <w:szCs w:val="32"/>
          <w:highlight w:val="none"/>
        </w:rPr>
        <w:t>申报单位应</w:t>
      </w:r>
      <w:r>
        <w:rPr>
          <w:rFonts w:hint="eastAsia" w:ascii="仿宋_GB2312" w:hAnsi="仿宋_GB2312" w:eastAsia="仿宋_GB2312" w:cs="仿宋_GB2312"/>
          <w:spacing w:val="6"/>
          <w:sz w:val="32"/>
          <w:szCs w:val="32"/>
          <w:highlight w:val="none"/>
          <w:lang w:eastAsia="zh-CN"/>
        </w:rPr>
        <w:t>为</w:t>
      </w:r>
      <w:r>
        <w:rPr>
          <w:rFonts w:ascii="仿宋_GB2312" w:hAnsi="仿宋_GB2312" w:eastAsia="仿宋_GB2312" w:cs="仿宋_GB2312"/>
          <w:spacing w:val="6"/>
          <w:sz w:val="32"/>
          <w:szCs w:val="32"/>
          <w:highlight w:val="none"/>
        </w:rPr>
        <w:t>在</w:t>
      </w:r>
      <w:r>
        <w:rPr>
          <w:rFonts w:hint="eastAsia" w:ascii="仿宋_GB2312" w:hAnsi="仿宋_GB2312" w:eastAsia="仿宋_GB2312" w:cs="仿宋_GB2312"/>
          <w:sz w:val="32"/>
          <w:szCs w:val="32"/>
          <w:highlight w:val="none"/>
        </w:rPr>
        <w:t>亦庄新城225平方公里范围内实际</w:t>
      </w:r>
      <w:r>
        <w:rPr>
          <w:rFonts w:hint="eastAsia" w:ascii="仿宋_GB2312" w:hAnsi="仿宋_GB2312" w:eastAsia="仿宋_GB2312" w:cs="仿宋_GB2312"/>
          <w:spacing w:val="6"/>
          <w:sz w:val="32"/>
          <w:szCs w:val="32"/>
          <w:highlight w:val="none"/>
        </w:rPr>
        <w:t>依法</w:t>
      </w:r>
      <w:r>
        <w:rPr>
          <w:rFonts w:hint="eastAsia" w:ascii="仿宋_GB2312" w:hAnsi="仿宋_GB2312" w:eastAsia="仿宋_GB2312" w:cs="仿宋_GB2312"/>
          <w:sz w:val="32"/>
          <w:szCs w:val="32"/>
          <w:highlight w:val="none"/>
        </w:rPr>
        <w:t>经营</w:t>
      </w:r>
      <w:r>
        <w:rPr>
          <w:rFonts w:ascii="仿宋_GB2312" w:hAnsi="仿宋_GB2312" w:eastAsia="仿宋_GB2312" w:cs="仿宋_GB2312"/>
          <w:spacing w:val="6"/>
          <w:sz w:val="32"/>
          <w:szCs w:val="32"/>
          <w:highlight w:val="none"/>
        </w:rPr>
        <w:t>的企事业单位，具有独立法人资格，近三年</w:t>
      </w:r>
      <w:r>
        <w:rPr>
          <w:rFonts w:hint="eastAsia" w:ascii="仿宋_GB2312" w:hAnsi="仿宋_GB2312" w:eastAsia="仿宋_GB2312" w:cs="仿宋_GB2312"/>
          <w:spacing w:val="6"/>
          <w:sz w:val="32"/>
          <w:szCs w:val="32"/>
          <w:highlight w:val="none"/>
          <w:lang w:val="en-US" w:eastAsia="zh-CN"/>
        </w:rPr>
        <w:t>无重大行政处罚记录和刑事犯罪记录，未列入严重违法失信主体名单</w:t>
      </w:r>
      <w:r>
        <w:rPr>
          <w:rFonts w:hint="eastAsia" w:ascii="仿宋_GB2312" w:hAnsi="方正小标宋简体" w:eastAsia="仿宋_GB2312" w:cs="Times New Roman"/>
          <w:kern w:val="2"/>
          <w:sz w:val="32"/>
          <w:szCs w:val="32"/>
          <w:lang w:val="en-US" w:eastAsia="zh-CN" w:bidi="ar-SA"/>
        </w:rPr>
        <w:t>。</w:t>
      </w:r>
    </w:p>
    <w:p w14:paraId="19104C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64" w:firstLineChars="200"/>
        <w:jc w:val="both"/>
        <w:textAlignment w:val="auto"/>
        <w:outlineLvl w:val="9"/>
        <w:rPr>
          <w:rFonts w:hint="default" w:ascii="仿宋_GB2312" w:hAnsi="方正小标宋简体" w:eastAsia="仿宋_GB2312" w:cs="Times New Roman"/>
          <w:kern w:val="2"/>
          <w:sz w:val="32"/>
          <w:szCs w:val="32"/>
          <w:lang w:val="en-US" w:eastAsia="zh-CN" w:bidi="ar-SA"/>
        </w:rPr>
      </w:pPr>
      <w:r>
        <w:rPr>
          <w:rFonts w:hint="eastAsia" w:ascii="仿宋_GB2312" w:hAnsi="仿宋_GB2312" w:eastAsia="仿宋_GB2312" w:cs="仿宋_GB2312"/>
          <w:spacing w:val="6"/>
          <w:sz w:val="32"/>
          <w:szCs w:val="32"/>
          <w:highlight w:val="none"/>
          <w:lang w:val="en-US" w:eastAsia="zh-CN"/>
        </w:rPr>
        <w:t>（二）申报</w:t>
      </w:r>
      <w:r>
        <w:rPr>
          <w:rFonts w:hint="eastAsia" w:ascii="仿宋_GB2312" w:hAnsi="方正小标宋简体" w:eastAsia="仿宋_GB2312" w:cs="Times New Roman"/>
          <w:kern w:val="2"/>
          <w:sz w:val="32"/>
          <w:szCs w:val="32"/>
          <w:lang w:val="en-US" w:eastAsia="zh-CN" w:bidi="ar-SA"/>
        </w:rPr>
        <w:t>单位应为数据产品需求方，与数据产品供给方无关联关系，且供给方需具备独立法人资格。</w:t>
      </w:r>
    </w:p>
    <w:p w14:paraId="035963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（三）申报单位</w:t>
      </w:r>
      <w:r>
        <w:rPr>
          <w:rFonts w:hint="eastAsia" w:ascii="仿宋_GB2312" w:hAnsi="方正小标宋简体" w:eastAsia="仿宋_GB2312" w:cs="Times New Roman"/>
          <w:kern w:val="2"/>
          <w:sz w:val="32"/>
          <w:szCs w:val="32"/>
          <w:lang w:val="en-US" w:eastAsia="zh-CN" w:bidi="ar-SA"/>
        </w:rPr>
        <w:t>采购的数据产品需实际应用于企业生产经营、技术研发等场景，不得用于转售或闲置。</w:t>
      </w:r>
    </w:p>
    <w:p w14:paraId="421D6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5E7095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（一）支持数据产品类型：</w:t>
      </w:r>
    </w:p>
    <w:p w14:paraId="043823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方正小标宋简体" w:eastAsia="仿宋_GB2312" w:cs="Times New Roman"/>
          <w:b/>
          <w:bCs/>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1.数据集：指经采集、整理、加工形成，面向特定主题、以多形态呈现，具备合规性、完整性、可用性，可支撑分析、挖掘与模型训练的数据集合。</w:t>
      </w:r>
      <w:r>
        <w:rPr>
          <w:rFonts w:hint="eastAsia" w:ascii="仿宋_GB2312" w:hAnsi="方正小标宋简体" w:eastAsia="仿宋_GB2312" w:cs="Times New Roman"/>
          <w:b/>
          <w:bCs/>
          <w:kern w:val="2"/>
          <w:sz w:val="32"/>
          <w:szCs w:val="32"/>
          <w:highlight w:val="none"/>
          <w:lang w:val="en-US" w:eastAsia="zh-CN" w:bidi="ar-SA"/>
        </w:rPr>
        <w:t>如公共数据、企业数据、行业数据、地理空间/时空数据等。</w:t>
      </w:r>
    </w:p>
    <w:p w14:paraId="635251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2.数据接口：指基于标准化技术通道，以接口服务方式对外提供查询、核验、计算、推理能力，可实现跨系统数据交互，适配多场景的数据传输服务，同时包含封装后的算法模型服务。</w:t>
      </w:r>
      <w:r>
        <w:rPr>
          <w:rFonts w:hint="eastAsia" w:ascii="仿宋_GB2312" w:hAnsi="方正小标宋简体" w:eastAsia="仿宋_GB2312" w:cs="Times New Roman"/>
          <w:b/>
          <w:bCs/>
          <w:kern w:val="2"/>
          <w:sz w:val="32"/>
          <w:szCs w:val="32"/>
          <w:highlight w:val="none"/>
          <w:lang w:val="en-US" w:eastAsia="zh-CN" w:bidi="ar-SA"/>
        </w:rPr>
        <w:t>如实时查询类接口、批量推送类接口、周期性订阅类接口等</w:t>
      </w:r>
      <w:r>
        <w:rPr>
          <w:rFonts w:hint="eastAsia" w:ascii="仿宋_GB2312" w:hAnsi="方正小标宋简体" w:eastAsia="仿宋_GB2312" w:cs="Times New Roman"/>
          <w:kern w:val="2"/>
          <w:sz w:val="32"/>
          <w:szCs w:val="32"/>
          <w:highlight w:val="none"/>
          <w:lang w:val="en-US" w:eastAsia="zh-CN" w:bidi="ar-SA"/>
        </w:rPr>
        <w:t>。</w:t>
      </w:r>
    </w:p>
    <w:p w14:paraId="40C64B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3.其他数据产品。指以数据为核心价值要素，但无法完全纳入数据集、数据报告、数据接口范畴的新型或定制化数据产品，主要用于解决特定细分场景的复杂需求，提供直接的问题解决方案或自动化服务。</w:t>
      </w:r>
      <w:r>
        <w:rPr>
          <w:rFonts w:hint="eastAsia" w:ascii="仿宋_GB2312" w:hAnsi="方正小标宋简体" w:eastAsia="仿宋_GB2312" w:cs="Times New Roman"/>
          <w:b/>
          <w:bCs/>
          <w:kern w:val="2"/>
          <w:sz w:val="32"/>
          <w:szCs w:val="32"/>
          <w:highlight w:val="none"/>
          <w:lang w:val="en-US" w:eastAsia="zh-CN" w:bidi="ar-SA"/>
        </w:rPr>
        <w:t>如模型输出类数据产品（如专家/服务分身）、嵌入式数据应用（如嵌套算法服务）、知识图谱与语义层数据服务、定制化数据解决方案等。</w:t>
      </w:r>
    </w:p>
    <w:p w14:paraId="6A01C0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spacing w:val="0"/>
          <w:kern w:val="0"/>
          <w:sz w:val="32"/>
          <w:szCs w:val="32"/>
          <w:highlight w:val="none"/>
          <w:lang w:val="en-US" w:eastAsia="zh-CN"/>
        </w:rPr>
        <w:t>（二）</w:t>
      </w:r>
      <w:r>
        <w:rPr>
          <w:rFonts w:hint="eastAsia" w:ascii="仿宋_GB2312" w:hAnsi="方正小标宋简体" w:eastAsia="仿宋_GB2312" w:cs="Times New Roman"/>
          <w:kern w:val="2"/>
          <w:sz w:val="32"/>
          <w:szCs w:val="32"/>
          <w:highlight w:val="none"/>
          <w:lang w:val="en-US" w:eastAsia="zh-CN" w:bidi="ar-SA"/>
        </w:rPr>
        <w:t>支持申报单位依托国家及地方持牌数据交易所（中心）、公共数据授权运营平台、行业及企业合规数据流通服务平台等正规交易载体，依法依规开展数据产品市场化交易。</w:t>
      </w:r>
    </w:p>
    <w:p w14:paraId="74D72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color w:val="000000"/>
          <w:spacing w:val="0"/>
          <w:kern w:val="0"/>
          <w:sz w:val="32"/>
          <w:szCs w:val="32"/>
          <w:highlight w:val="none"/>
          <w:lang w:val="en-US" w:eastAsia="zh-CN"/>
        </w:rPr>
        <w:t>（三）</w:t>
      </w:r>
      <w:r>
        <w:rPr>
          <w:rFonts w:hint="eastAsia" w:ascii="仿宋_GB2312" w:hAnsi="方正小标宋简体" w:eastAsia="仿宋_GB2312" w:cs="Times New Roman"/>
          <w:kern w:val="2"/>
          <w:sz w:val="32"/>
          <w:szCs w:val="32"/>
          <w:highlight w:val="none"/>
          <w:lang w:val="en-US" w:eastAsia="zh-CN" w:bidi="ar-SA"/>
        </w:rPr>
        <w:t>对申报单位通过合规交易载体，在2025年7月15日至2026年11月2日期间开展数据产品采购、取得合法有效交易凭证（合同、发票、付款凭证等）的，按核定付款凭证总额的10%给予补贴；单个采购主体年度最高补贴金额不超过100万元。</w:t>
      </w:r>
    </w:p>
    <w:p w14:paraId="4B4ED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五、申报材料及要求</w:t>
      </w:r>
    </w:p>
    <w:p w14:paraId="08402C2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方正小标宋简体" w:eastAsia="仿宋_GB2312" w:cs="Times New Roman"/>
          <w:kern w:val="2"/>
          <w:sz w:val="32"/>
          <w:szCs w:val="32"/>
          <w:highlight w:val="none"/>
          <w:lang w:val="en-US" w:eastAsia="zh-CN" w:bidi="ar-SA"/>
        </w:rPr>
        <w:t>1.经开区2026年</w:t>
      </w:r>
      <w:r>
        <w:rPr>
          <w:rFonts w:hint="eastAsia" w:ascii="仿宋_GB2312" w:hAnsi="方正小标宋简体" w:eastAsia="仿宋_GB2312" w:cs="Times New Roman"/>
          <w:kern w:val="2"/>
          <w:sz w:val="32"/>
          <w:szCs w:val="32"/>
          <w:lang w:val="en-US" w:eastAsia="zh-CN" w:bidi="ar-SA"/>
        </w:rPr>
        <w:t>数据券补贴</w:t>
      </w:r>
      <w:r>
        <w:rPr>
          <w:rFonts w:hint="eastAsia" w:ascii="仿宋_GB2312" w:hAnsi="方正小标宋简体" w:eastAsia="仿宋_GB2312" w:cs="Times New Roman"/>
          <w:kern w:val="2"/>
          <w:sz w:val="32"/>
          <w:szCs w:val="32"/>
          <w:highlight w:val="none"/>
          <w:lang w:val="en-US" w:eastAsia="zh-CN" w:bidi="ar-SA"/>
        </w:rPr>
        <w:t>申报表</w:t>
      </w:r>
      <w:r>
        <w:rPr>
          <w:rFonts w:hint="eastAsia" w:ascii="仿宋_GB2312" w:hAnsi="仿宋_GB2312" w:eastAsia="仿宋_GB2312" w:cs="仿宋_GB2312"/>
          <w:sz w:val="32"/>
          <w:szCs w:val="32"/>
          <w:highlight w:val="none"/>
        </w:rPr>
        <w:t>，在线填写</w:t>
      </w:r>
      <w:r>
        <w:rPr>
          <w:rFonts w:hint="eastAsia" w:ascii="仿宋_GB2312" w:hAnsi="仿宋_GB2312" w:eastAsia="仿宋_GB2312" w:cs="仿宋_GB2312"/>
          <w:spacing w:val="6"/>
          <w:sz w:val="32"/>
          <w:szCs w:val="32"/>
          <w:highlight w:val="none"/>
        </w:rPr>
        <w:t>；</w:t>
      </w:r>
    </w:p>
    <w:p w14:paraId="39E1966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企</w:t>
      </w:r>
      <w:r>
        <w:rPr>
          <w:rFonts w:hint="eastAsia" w:ascii="仿宋_GB2312" w:hAnsi="仿宋_GB2312" w:eastAsia="仿宋_GB2312" w:cs="仿宋_GB2312"/>
          <w:b w:val="0"/>
          <w:bCs w:val="0"/>
          <w:color w:val="auto"/>
          <w:sz w:val="32"/>
          <w:szCs w:val="32"/>
          <w:highlight w:val="none"/>
        </w:rPr>
        <w:t>业营业执照</w:t>
      </w:r>
      <w:r>
        <w:rPr>
          <w:rFonts w:hint="eastAsia" w:ascii="仿宋_GB2312" w:hAnsi="仿宋_GB2312" w:eastAsia="仿宋_GB2312" w:cs="仿宋_GB2312"/>
          <w:sz w:val="32"/>
          <w:szCs w:val="32"/>
          <w:highlight w:val="none"/>
        </w:rPr>
        <w:t>，选取电子证照；</w:t>
      </w:r>
    </w:p>
    <w:p w14:paraId="75029CB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承诺书，下载模板填写，</w:t>
      </w:r>
      <w:r>
        <w:rPr>
          <w:rFonts w:hint="eastAsia" w:ascii="仿宋_GB2312" w:hAnsi="仿宋_GB2312" w:eastAsia="仿宋_GB2312" w:cs="仿宋_GB2312"/>
          <w:spacing w:val="6"/>
          <w:sz w:val="32"/>
          <w:szCs w:val="32"/>
          <w:highlight w:val="none"/>
        </w:rPr>
        <w:t>签字</w:t>
      </w:r>
      <w:r>
        <w:rPr>
          <w:rFonts w:ascii="仿宋_GB2312" w:hAnsi="仿宋_GB2312" w:eastAsia="仿宋_GB2312" w:cs="仿宋_GB2312"/>
          <w:spacing w:val="6"/>
          <w:sz w:val="32"/>
          <w:szCs w:val="32"/>
          <w:highlight w:val="none"/>
        </w:rPr>
        <w:t>、</w:t>
      </w:r>
      <w:r>
        <w:rPr>
          <w:rFonts w:hint="eastAsia" w:ascii="仿宋_GB2312" w:hAnsi="仿宋_GB2312" w:eastAsia="仿宋_GB2312" w:cs="仿宋_GB2312"/>
          <w:spacing w:val="6"/>
          <w:sz w:val="32"/>
          <w:szCs w:val="32"/>
          <w:highlight w:val="none"/>
        </w:rPr>
        <w:t>加盖公章，</w:t>
      </w:r>
      <w:r>
        <w:rPr>
          <w:rFonts w:ascii="仿宋_GB2312" w:hAnsi="仿宋_GB2312" w:eastAsia="仿宋_GB2312" w:cs="仿宋_GB2312"/>
          <w:spacing w:val="6"/>
          <w:sz w:val="32"/>
          <w:szCs w:val="32"/>
          <w:highlight w:val="none"/>
        </w:rPr>
        <w:t>彩色</w:t>
      </w:r>
      <w:r>
        <w:rPr>
          <w:rFonts w:hint="eastAsia" w:ascii="仿宋_GB2312" w:hAnsi="仿宋_GB2312" w:eastAsia="仿宋_GB2312" w:cs="仿宋_GB2312"/>
          <w:spacing w:val="6"/>
          <w:sz w:val="32"/>
          <w:szCs w:val="32"/>
          <w:highlight w:val="none"/>
        </w:rPr>
        <w:t>扫描</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rPr>
        <w:t>；</w:t>
      </w:r>
    </w:p>
    <w:p w14:paraId="7E1CAF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银行账户信息，下载模板填写，加盖公章，</w:t>
      </w:r>
      <w:r>
        <w:rPr>
          <w:rFonts w:ascii="仿宋_GB2312" w:hAnsi="仿宋_GB2312" w:eastAsia="仿宋_GB2312" w:cs="仿宋_GB2312"/>
          <w:spacing w:val="6"/>
          <w:sz w:val="32"/>
          <w:szCs w:val="32"/>
          <w:highlight w:val="none"/>
        </w:rPr>
        <w:t>彩色</w:t>
      </w:r>
      <w:r>
        <w:rPr>
          <w:rFonts w:hint="eastAsia" w:ascii="仿宋_GB2312" w:hAnsi="仿宋_GB2312" w:eastAsia="仿宋_GB2312" w:cs="仿宋_GB2312"/>
          <w:spacing w:val="6"/>
          <w:sz w:val="32"/>
          <w:szCs w:val="32"/>
          <w:highlight w:val="none"/>
        </w:rPr>
        <w:t>扫描</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rPr>
        <w:t>；</w:t>
      </w:r>
    </w:p>
    <w:p w14:paraId="61B484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5.经开区2026年</w:t>
      </w:r>
      <w:r>
        <w:rPr>
          <w:rFonts w:hint="eastAsia" w:ascii="仿宋_GB2312" w:hAnsi="方正小标宋简体" w:eastAsia="仿宋_GB2312" w:cs="Times New Roman"/>
          <w:kern w:val="2"/>
          <w:sz w:val="32"/>
          <w:szCs w:val="32"/>
          <w:lang w:val="en-US" w:eastAsia="zh-CN" w:bidi="ar-SA"/>
        </w:rPr>
        <w:t>数据券补贴</w:t>
      </w:r>
      <w:r>
        <w:rPr>
          <w:rFonts w:hint="eastAsia" w:ascii="仿宋_GB2312" w:hAnsi="仿宋_GB2312" w:eastAsia="仿宋_GB2312" w:cs="仿宋_GB2312"/>
          <w:sz w:val="32"/>
          <w:szCs w:val="32"/>
          <w:highlight w:val="none"/>
          <w:lang w:eastAsia="zh-CN"/>
        </w:rPr>
        <w:t>申报</w:t>
      </w:r>
      <w:r>
        <w:rPr>
          <w:rFonts w:hint="eastAsia" w:ascii="仿宋_GB2312" w:hAnsi="仿宋_GB2312" w:eastAsia="仿宋_GB2312" w:cs="仿宋_GB2312"/>
          <w:sz w:val="32"/>
          <w:szCs w:val="32"/>
          <w:highlight w:val="none"/>
          <w:lang w:val="en-US" w:eastAsia="zh-CN"/>
        </w:rPr>
        <w:t>书，</w:t>
      </w:r>
      <w:r>
        <w:rPr>
          <w:rFonts w:hint="eastAsia" w:ascii="仿宋_GB2312" w:hAnsi="仿宋_GB2312" w:eastAsia="仿宋_GB2312" w:cs="仿宋_GB2312"/>
          <w:sz w:val="32"/>
          <w:szCs w:val="32"/>
          <w:lang w:eastAsia="zh-CN"/>
        </w:rPr>
        <w:t>下载模板填写，加盖公章，彩色扫描上传</w:t>
      </w:r>
      <w:r>
        <w:rPr>
          <w:rFonts w:hint="eastAsia" w:ascii="仿宋_GB2312" w:hAnsi="仿宋_GB2312" w:eastAsia="仿宋_GB2312" w:cs="仿宋_GB2312"/>
          <w:kern w:val="2"/>
          <w:sz w:val="32"/>
          <w:szCs w:val="32"/>
          <w:lang w:val="en-US" w:eastAsia="zh-CN"/>
        </w:rPr>
        <w:t>；</w:t>
      </w:r>
    </w:p>
    <w:p w14:paraId="3A6291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6.经开区2026年数据券补贴申报明细表及对应的合同、发票、付款凭证等证明材料，明细表需</w:t>
      </w:r>
      <w:r>
        <w:rPr>
          <w:rFonts w:hint="eastAsia" w:ascii="仿宋_GB2312" w:hAnsi="仿宋_GB2312" w:eastAsia="仿宋_GB2312" w:cs="仿宋_GB2312"/>
          <w:sz w:val="32"/>
          <w:szCs w:val="32"/>
          <w:highlight w:val="none"/>
        </w:rPr>
        <w:t>下载模板填写，</w:t>
      </w:r>
      <w:r>
        <w:rPr>
          <w:rFonts w:hint="eastAsia" w:ascii="仿宋_GB2312" w:hAnsi="仿宋_GB2312" w:eastAsia="仿宋_GB2312" w:cs="仿宋_GB2312"/>
          <w:sz w:val="32"/>
          <w:szCs w:val="32"/>
          <w:highlight w:val="none"/>
          <w:lang w:eastAsia="zh-CN"/>
        </w:rPr>
        <w:t>电子版</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lang w:val="en-US" w:eastAsia="zh-CN"/>
        </w:rPr>
        <w:t>；合同、发票、付款凭证等证明材料需原件彩色扫描上传。</w:t>
      </w:r>
    </w:p>
    <w:p w14:paraId="06692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六、办理程序</w:t>
      </w:r>
    </w:p>
    <w:p w14:paraId="5A1D8535">
      <w:pPr>
        <w:pStyle w:val="7"/>
        <w:keepNext w:val="0"/>
        <w:keepLines w:val="0"/>
        <w:pageBreakBefore w:val="0"/>
        <w:widowControl w:val="0"/>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val="en-US"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val="en-US"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DE59889">
      <w:pPr>
        <w:pStyle w:val="7"/>
        <w:keepNext w:val="0"/>
        <w:keepLines w:val="0"/>
        <w:pageBreakBefore w:val="0"/>
        <w:widowControl w:val="0"/>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3D6A62C7">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：北京市智慧城市基础设施与智能网联汽车协同发展工作办公室对申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60D8B41D">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专家评审：</w:t>
      </w:r>
      <w:r>
        <w:rPr>
          <w:rFonts w:hint="eastAsia" w:ascii="仿宋_GB2312" w:hAnsi="仿宋_GB2312" w:eastAsia="仿宋_GB2312" w:cs="仿宋_GB2312"/>
          <w:color w:val="000000"/>
          <w:kern w:val="2"/>
          <w:sz w:val="32"/>
          <w:szCs w:val="32"/>
        </w:rPr>
        <w:t>北京市智慧城市基础设施与智能网联汽车协同发展工作办公室组织专家线下对申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材料进行评审，评审后将结果上传到系统。</w:t>
      </w:r>
    </w:p>
    <w:p w14:paraId="279F99C8">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北京市智慧城市基础设施与智能网联汽车协同发展工作办公室对审核通过的申报主体拟定兑现扶持奖励金额。</w:t>
      </w:r>
    </w:p>
    <w:p w14:paraId="58C34328">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：北京市智慧城市基础设施与智能网联汽车协同发展工作办公室</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49F92673">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77E55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七、主责部门</w:t>
      </w:r>
    </w:p>
    <w:p w14:paraId="362E5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color w:val="000000"/>
          <w:kern w:val="2"/>
          <w:sz w:val="32"/>
          <w:szCs w:val="32"/>
        </w:rPr>
        <w:t>北京市智慧城市基础设施与智能网联汽车协同发展工作办公室</w:t>
      </w:r>
    </w:p>
    <w:p w14:paraId="64C09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八、受理窗口</w:t>
      </w:r>
    </w:p>
    <w:p w14:paraId="66ECCA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086126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九、申报时间</w:t>
      </w:r>
    </w:p>
    <w:p w14:paraId="3D8608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至2026年11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6</w:t>
      </w:r>
      <w:bookmarkStart w:id="0" w:name="_GoBack"/>
      <w:bookmarkEnd w:id="0"/>
      <w:r>
        <w:rPr>
          <w:rFonts w:hint="eastAsia" w:ascii="仿宋_GB2312" w:hAnsi="仿宋_GB2312" w:eastAsia="仿宋_GB2312" w:cs="仿宋_GB2312"/>
          <w:sz w:val="32"/>
          <w:szCs w:val="32"/>
          <w:highlight w:val="none"/>
        </w:rPr>
        <w:t>日</w:t>
      </w:r>
    </w:p>
    <w:p w14:paraId="6100B7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69B44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仿宋_GB2312" w:hAnsi="仿宋_GB2312" w:eastAsia="仿宋_GB2312" w:cs="仿宋_GB2312"/>
          <w:color w:val="000000"/>
          <w:kern w:val="2"/>
          <w:sz w:val="32"/>
          <w:szCs w:val="32"/>
          <w:highlight w:val="none"/>
        </w:rPr>
        <w:t>北京市智慧城市基础</w:t>
      </w:r>
      <w:r>
        <w:rPr>
          <w:rFonts w:hint="eastAsia" w:ascii="仿宋_GB2312" w:hAnsi="仿宋_GB2312" w:eastAsia="仿宋_GB2312" w:cs="仿宋_GB2312"/>
          <w:color w:val="000000"/>
          <w:kern w:val="2"/>
          <w:sz w:val="32"/>
          <w:szCs w:val="32"/>
          <w:highlight w:val="none"/>
          <w:lang w:eastAsia="zh-CN"/>
        </w:rPr>
        <w:t>设施与智能网联</w:t>
      </w:r>
      <w:r>
        <w:rPr>
          <w:rFonts w:hint="eastAsia" w:ascii="仿宋_GB2312" w:hAnsi="仿宋_GB2312" w:eastAsia="仿宋_GB2312" w:cs="仿宋_GB2312"/>
          <w:color w:val="000000"/>
          <w:kern w:val="2"/>
          <w:sz w:val="32"/>
          <w:szCs w:val="32"/>
          <w:highlight w:val="none"/>
        </w:rPr>
        <w:t>汽车协同发展工作办公室</w:t>
      </w:r>
      <w:r>
        <w:rPr>
          <w:rFonts w:hint="eastAsia" w:ascii="仿宋_GB2312" w:hAnsi="仿宋_GB2312" w:eastAsia="仿宋_GB2312" w:cs="仿宋_GB2312"/>
          <w:sz w:val="32"/>
          <w:szCs w:val="32"/>
          <w:highlight w:val="none"/>
        </w:rPr>
        <w:t>，联系电话：010-</w:t>
      </w:r>
      <w:r>
        <w:rPr>
          <w:rFonts w:hint="eastAsia" w:ascii="仿宋_GB2312" w:hAnsi="仿宋_GB2312" w:eastAsia="仿宋_GB2312" w:cs="仿宋_GB2312"/>
          <w:sz w:val="32"/>
          <w:szCs w:val="32"/>
          <w:highlight w:val="none"/>
          <w:lang w:val="en-US" w:eastAsia="zh-CN"/>
        </w:rPr>
        <w:t>83508204</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5094D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792FFC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B1C9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十二、特别说明</w:t>
      </w:r>
    </w:p>
    <w:p w14:paraId="7BBCA7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540D91"/>
    <w:rsid w:val="01586909"/>
    <w:rsid w:val="015C7ADB"/>
    <w:rsid w:val="01904DED"/>
    <w:rsid w:val="01CB7B50"/>
    <w:rsid w:val="01D948CF"/>
    <w:rsid w:val="020C0B78"/>
    <w:rsid w:val="0225322D"/>
    <w:rsid w:val="02297D4E"/>
    <w:rsid w:val="025430A8"/>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33C0C"/>
    <w:rsid w:val="05AE227A"/>
    <w:rsid w:val="05AE34A7"/>
    <w:rsid w:val="05D14D85"/>
    <w:rsid w:val="06113255"/>
    <w:rsid w:val="0646239C"/>
    <w:rsid w:val="06B62BF6"/>
    <w:rsid w:val="06D3553D"/>
    <w:rsid w:val="06FE1C51"/>
    <w:rsid w:val="072A1178"/>
    <w:rsid w:val="074E6B15"/>
    <w:rsid w:val="078B6DBE"/>
    <w:rsid w:val="07936930"/>
    <w:rsid w:val="07B11C5A"/>
    <w:rsid w:val="08146885"/>
    <w:rsid w:val="0840700F"/>
    <w:rsid w:val="08925D0E"/>
    <w:rsid w:val="089620E8"/>
    <w:rsid w:val="08A45B0A"/>
    <w:rsid w:val="08A825A4"/>
    <w:rsid w:val="08B97A0D"/>
    <w:rsid w:val="08BF34BA"/>
    <w:rsid w:val="08CC64FD"/>
    <w:rsid w:val="08D44C62"/>
    <w:rsid w:val="093955CA"/>
    <w:rsid w:val="09677F84"/>
    <w:rsid w:val="09FF2B6A"/>
    <w:rsid w:val="0A0501E5"/>
    <w:rsid w:val="0A12715A"/>
    <w:rsid w:val="0A192B78"/>
    <w:rsid w:val="0A7A09DE"/>
    <w:rsid w:val="0A7A6E57"/>
    <w:rsid w:val="0AD40459"/>
    <w:rsid w:val="0B1708BD"/>
    <w:rsid w:val="0B38121B"/>
    <w:rsid w:val="0B3E75A5"/>
    <w:rsid w:val="0B401B24"/>
    <w:rsid w:val="0B6B119E"/>
    <w:rsid w:val="0B782C5C"/>
    <w:rsid w:val="0BBA4AFF"/>
    <w:rsid w:val="0BD84C47"/>
    <w:rsid w:val="0BEE6FC8"/>
    <w:rsid w:val="0BF72154"/>
    <w:rsid w:val="0C3A5354"/>
    <w:rsid w:val="0C4C6FFF"/>
    <w:rsid w:val="0C7D2B96"/>
    <w:rsid w:val="0C804154"/>
    <w:rsid w:val="0C817D6C"/>
    <w:rsid w:val="0CD93D42"/>
    <w:rsid w:val="0D0138A5"/>
    <w:rsid w:val="0D920D6C"/>
    <w:rsid w:val="0D9E4973"/>
    <w:rsid w:val="0E4A7C7C"/>
    <w:rsid w:val="0E5672B2"/>
    <w:rsid w:val="0E715E03"/>
    <w:rsid w:val="0EAB08F2"/>
    <w:rsid w:val="0EAD26D4"/>
    <w:rsid w:val="0ED00FB9"/>
    <w:rsid w:val="0EE86C1D"/>
    <w:rsid w:val="0F131376"/>
    <w:rsid w:val="0F193762"/>
    <w:rsid w:val="0F1D02E7"/>
    <w:rsid w:val="0F221A0E"/>
    <w:rsid w:val="0F8C27FB"/>
    <w:rsid w:val="0F934289"/>
    <w:rsid w:val="0FA61C25"/>
    <w:rsid w:val="0FF757D0"/>
    <w:rsid w:val="101D1DF8"/>
    <w:rsid w:val="10452D67"/>
    <w:rsid w:val="106018C4"/>
    <w:rsid w:val="10653491"/>
    <w:rsid w:val="10706EEF"/>
    <w:rsid w:val="1092296C"/>
    <w:rsid w:val="10A01313"/>
    <w:rsid w:val="10C13CF3"/>
    <w:rsid w:val="10E13271"/>
    <w:rsid w:val="117D2BA9"/>
    <w:rsid w:val="118F3527"/>
    <w:rsid w:val="11CA43B8"/>
    <w:rsid w:val="11D62CBE"/>
    <w:rsid w:val="121B617A"/>
    <w:rsid w:val="1252310C"/>
    <w:rsid w:val="12E52159"/>
    <w:rsid w:val="12EE4885"/>
    <w:rsid w:val="12F66CD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3A2F14"/>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6F2C26"/>
    <w:rsid w:val="1B714996"/>
    <w:rsid w:val="1B8109FE"/>
    <w:rsid w:val="1B8D4C8F"/>
    <w:rsid w:val="1B9377B6"/>
    <w:rsid w:val="1BB56B5C"/>
    <w:rsid w:val="1C14717E"/>
    <w:rsid w:val="1C1B504A"/>
    <w:rsid w:val="1C2B4E13"/>
    <w:rsid w:val="1C3B6D59"/>
    <w:rsid w:val="1C6E285C"/>
    <w:rsid w:val="1C7B6FF9"/>
    <w:rsid w:val="1D075252"/>
    <w:rsid w:val="1D2277AB"/>
    <w:rsid w:val="1D451EB0"/>
    <w:rsid w:val="1D615728"/>
    <w:rsid w:val="1D761D5A"/>
    <w:rsid w:val="1E3278A5"/>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16D2F"/>
    <w:rsid w:val="20830764"/>
    <w:rsid w:val="20A81D61"/>
    <w:rsid w:val="20AA00DB"/>
    <w:rsid w:val="20C93EA2"/>
    <w:rsid w:val="20CC2FA6"/>
    <w:rsid w:val="20D514AE"/>
    <w:rsid w:val="20DE69DC"/>
    <w:rsid w:val="2117052E"/>
    <w:rsid w:val="21335EBD"/>
    <w:rsid w:val="21835613"/>
    <w:rsid w:val="218912A4"/>
    <w:rsid w:val="21B6442D"/>
    <w:rsid w:val="21C06C9F"/>
    <w:rsid w:val="21D10780"/>
    <w:rsid w:val="21F93416"/>
    <w:rsid w:val="220962A9"/>
    <w:rsid w:val="22C97BF8"/>
    <w:rsid w:val="22F6591B"/>
    <w:rsid w:val="23117B7A"/>
    <w:rsid w:val="231A5872"/>
    <w:rsid w:val="23403409"/>
    <w:rsid w:val="235F00AC"/>
    <w:rsid w:val="23654BF1"/>
    <w:rsid w:val="23E34E21"/>
    <w:rsid w:val="24AB3E23"/>
    <w:rsid w:val="2533284F"/>
    <w:rsid w:val="25594938"/>
    <w:rsid w:val="255A71D2"/>
    <w:rsid w:val="25DF3625"/>
    <w:rsid w:val="261E412A"/>
    <w:rsid w:val="26446E71"/>
    <w:rsid w:val="26602BD3"/>
    <w:rsid w:val="271005EA"/>
    <w:rsid w:val="2727206E"/>
    <w:rsid w:val="273D6D1B"/>
    <w:rsid w:val="275E3649"/>
    <w:rsid w:val="2768133E"/>
    <w:rsid w:val="27721755"/>
    <w:rsid w:val="27874815"/>
    <w:rsid w:val="281D6715"/>
    <w:rsid w:val="286873FE"/>
    <w:rsid w:val="288627FF"/>
    <w:rsid w:val="28942D3D"/>
    <w:rsid w:val="28A332E9"/>
    <w:rsid w:val="29857C2F"/>
    <w:rsid w:val="29D97CC6"/>
    <w:rsid w:val="2A1D0ADC"/>
    <w:rsid w:val="2A5F7219"/>
    <w:rsid w:val="2A6102E1"/>
    <w:rsid w:val="2AB25697"/>
    <w:rsid w:val="2ACF7AB8"/>
    <w:rsid w:val="2B035A09"/>
    <w:rsid w:val="2B2024A7"/>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A41CF9"/>
    <w:rsid w:val="2EC908A3"/>
    <w:rsid w:val="2ED73427"/>
    <w:rsid w:val="2F2F2A58"/>
    <w:rsid w:val="2F5D1137"/>
    <w:rsid w:val="2F6E0190"/>
    <w:rsid w:val="2F8D4635"/>
    <w:rsid w:val="3012512B"/>
    <w:rsid w:val="30140526"/>
    <w:rsid w:val="304F7C2E"/>
    <w:rsid w:val="306E5387"/>
    <w:rsid w:val="30AB0C90"/>
    <w:rsid w:val="310A0BC4"/>
    <w:rsid w:val="31281962"/>
    <w:rsid w:val="312A1C2B"/>
    <w:rsid w:val="315A3762"/>
    <w:rsid w:val="31624147"/>
    <w:rsid w:val="31AA66BF"/>
    <w:rsid w:val="31D65AF9"/>
    <w:rsid w:val="3201564A"/>
    <w:rsid w:val="321C265E"/>
    <w:rsid w:val="32343B0A"/>
    <w:rsid w:val="32A70709"/>
    <w:rsid w:val="32FE69F0"/>
    <w:rsid w:val="336A1FD6"/>
    <w:rsid w:val="336B64D8"/>
    <w:rsid w:val="33E75D8A"/>
    <w:rsid w:val="341807F9"/>
    <w:rsid w:val="342465E2"/>
    <w:rsid w:val="3469157A"/>
    <w:rsid w:val="347C0671"/>
    <w:rsid w:val="34B21D2C"/>
    <w:rsid w:val="34E04A84"/>
    <w:rsid w:val="34E65163"/>
    <w:rsid w:val="35135498"/>
    <w:rsid w:val="35465824"/>
    <w:rsid w:val="354F42BD"/>
    <w:rsid w:val="3573124D"/>
    <w:rsid w:val="359527A9"/>
    <w:rsid w:val="35B56B4B"/>
    <w:rsid w:val="36744D66"/>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6877C8"/>
    <w:rsid w:val="3BDA7DE5"/>
    <w:rsid w:val="3C1C3110"/>
    <w:rsid w:val="3C2F160E"/>
    <w:rsid w:val="3C5F033A"/>
    <w:rsid w:val="3C8F37B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D57FE"/>
    <w:rsid w:val="40945F74"/>
    <w:rsid w:val="409D6C96"/>
    <w:rsid w:val="40A50B34"/>
    <w:rsid w:val="40C0750A"/>
    <w:rsid w:val="410178FA"/>
    <w:rsid w:val="419C40BE"/>
    <w:rsid w:val="41A74911"/>
    <w:rsid w:val="41C24932"/>
    <w:rsid w:val="41EE09AD"/>
    <w:rsid w:val="42271CA4"/>
    <w:rsid w:val="423A4979"/>
    <w:rsid w:val="42446DF5"/>
    <w:rsid w:val="42553C37"/>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133AED"/>
    <w:rsid w:val="4A2E4F9F"/>
    <w:rsid w:val="4A3148B7"/>
    <w:rsid w:val="4A3C2091"/>
    <w:rsid w:val="4A41431D"/>
    <w:rsid w:val="4A8A325C"/>
    <w:rsid w:val="4AB84ECB"/>
    <w:rsid w:val="4ACF4B48"/>
    <w:rsid w:val="4AD86E60"/>
    <w:rsid w:val="4AEB69AD"/>
    <w:rsid w:val="4B6D7706"/>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D13285"/>
    <w:rsid w:val="4F1A6236"/>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A4C2A"/>
    <w:rsid w:val="575E2A63"/>
    <w:rsid w:val="57672FF6"/>
    <w:rsid w:val="576C2AED"/>
    <w:rsid w:val="578A3D39"/>
    <w:rsid w:val="579A20B9"/>
    <w:rsid w:val="57DD4B77"/>
    <w:rsid w:val="58182573"/>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F64E2C"/>
    <w:rsid w:val="5AFE68EE"/>
    <w:rsid w:val="5B263105"/>
    <w:rsid w:val="5B505870"/>
    <w:rsid w:val="5B9546C3"/>
    <w:rsid w:val="5B982FC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FF4E17"/>
    <w:rsid w:val="5D1237AB"/>
    <w:rsid w:val="5D2F6E5E"/>
    <w:rsid w:val="5D442416"/>
    <w:rsid w:val="5D5B7524"/>
    <w:rsid w:val="5D731173"/>
    <w:rsid w:val="5DB61076"/>
    <w:rsid w:val="5DB96EBE"/>
    <w:rsid w:val="5DFA426F"/>
    <w:rsid w:val="5E60221A"/>
    <w:rsid w:val="5E852B06"/>
    <w:rsid w:val="5EBB0773"/>
    <w:rsid w:val="5EC9424F"/>
    <w:rsid w:val="5F3F6EB7"/>
    <w:rsid w:val="5F595787"/>
    <w:rsid w:val="5F5A2EFF"/>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84439F"/>
    <w:rsid w:val="6298596F"/>
    <w:rsid w:val="634E079D"/>
    <w:rsid w:val="635553E5"/>
    <w:rsid w:val="63E9591E"/>
    <w:rsid w:val="640F4520"/>
    <w:rsid w:val="644E2961"/>
    <w:rsid w:val="64797172"/>
    <w:rsid w:val="649C056B"/>
    <w:rsid w:val="64AE5736"/>
    <w:rsid w:val="64CE25B3"/>
    <w:rsid w:val="64DB4BB5"/>
    <w:rsid w:val="65155138"/>
    <w:rsid w:val="65342BA2"/>
    <w:rsid w:val="653F2A2A"/>
    <w:rsid w:val="658A3C2E"/>
    <w:rsid w:val="65BE0B5B"/>
    <w:rsid w:val="65EE1625"/>
    <w:rsid w:val="667B70FF"/>
    <w:rsid w:val="66815ECF"/>
    <w:rsid w:val="668D4153"/>
    <w:rsid w:val="66A82973"/>
    <w:rsid w:val="66B22E3E"/>
    <w:rsid w:val="672E0D6A"/>
    <w:rsid w:val="677F638E"/>
    <w:rsid w:val="67C1331A"/>
    <w:rsid w:val="67F973CE"/>
    <w:rsid w:val="6808097F"/>
    <w:rsid w:val="686076FC"/>
    <w:rsid w:val="68E479A1"/>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EEF0E38"/>
    <w:rsid w:val="6F0C63B7"/>
    <w:rsid w:val="6F345206"/>
    <w:rsid w:val="6F941165"/>
    <w:rsid w:val="6F9D2D94"/>
    <w:rsid w:val="6FBC2D32"/>
    <w:rsid w:val="6FCD685C"/>
    <w:rsid w:val="6FFF6326"/>
    <w:rsid w:val="70007B47"/>
    <w:rsid w:val="702F1D23"/>
    <w:rsid w:val="705342C1"/>
    <w:rsid w:val="708D3892"/>
    <w:rsid w:val="70A8641D"/>
    <w:rsid w:val="70B75CF8"/>
    <w:rsid w:val="70C079DE"/>
    <w:rsid w:val="712573D2"/>
    <w:rsid w:val="7155010D"/>
    <w:rsid w:val="715C4E8A"/>
    <w:rsid w:val="717F152D"/>
    <w:rsid w:val="71D07EE4"/>
    <w:rsid w:val="720F3D8F"/>
    <w:rsid w:val="72A75458"/>
    <w:rsid w:val="72D92721"/>
    <w:rsid w:val="732D07CF"/>
    <w:rsid w:val="73436223"/>
    <w:rsid w:val="735538BA"/>
    <w:rsid w:val="73AC6967"/>
    <w:rsid w:val="73AE56BA"/>
    <w:rsid w:val="740941C7"/>
    <w:rsid w:val="74A24F54"/>
    <w:rsid w:val="74DA21D9"/>
    <w:rsid w:val="75250E17"/>
    <w:rsid w:val="75576C93"/>
    <w:rsid w:val="75711074"/>
    <w:rsid w:val="75893E4D"/>
    <w:rsid w:val="75BA3B6D"/>
    <w:rsid w:val="75D12F9F"/>
    <w:rsid w:val="75E87AE4"/>
    <w:rsid w:val="76206188"/>
    <w:rsid w:val="767E6D89"/>
    <w:rsid w:val="768B48F5"/>
    <w:rsid w:val="76A32A08"/>
    <w:rsid w:val="76DD66F2"/>
    <w:rsid w:val="76EC6FC3"/>
    <w:rsid w:val="770B2702"/>
    <w:rsid w:val="7718563E"/>
    <w:rsid w:val="776A3F9A"/>
    <w:rsid w:val="77901978"/>
    <w:rsid w:val="77915027"/>
    <w:rsid w:val="779D4F4D"/>
    <w:rsid w:val="77CF1648"/>
    <w:rsid w:val="781D2C7A"/>
    <w:rsid w:val="783A56AF"/>
    <w:rsid w:val="78413BD7"/>
    <w:rsid w:val="788F717D"/>
    <w:rsid w:val="78915F29"/>
    <w:rsid w:val="78A77DB4"/>
    <w:rsid w:val="78B31BDE"/>
    <w:rsid w:val="78E70DA1"/>
    <w:rsid w:val="78F21850"/>
    <w:rsid w:val="791B03AB"/>
    <w:rsid w:val="79714C66"/>
    <w:rsid w:val="79D31F15"/>
    <w:rsid w:val="79D657CC"/>
    <w:rsid w:val="79E40A04"/>
    <w:rsid w:val="7A151811"/>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7FFB8B28"/>
    <w:rsid w:val="9F6F6015"/>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Body Text Indent"/>
    <w:basedOn w:val="1"/>
    <w:unhideWhenUsed/>
    <w:qFormat/>
    <w:uiPriority w:val="99"/>
    <w:pPr>
      <w:spacing w:after="120"/>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Body Text First Indent 2"/>
    <w:basedOn w:val="4"/>
    <w:unhideWhenUsed/>
    <w:qFormat/>
    <w:uiPriority w:val="99"/>
    <w:pPr>
      <w:ind w:firstLine="420" w:firstLineChars="200"/>
    </w:pPr>
    <w:rPr>
      <w:rFonts w:ascii="Times New Roman" w:hAnsi="Times New Roman" w:eastAsia="仿宋_GB2312" w:cs="Times New Roman"/>
      <w:sz w:val="32"/>
      <w:szCs w:val="24"/>
    </w:rPr>
  </w:style>
  <w:style w:type="character" w:styleId="11">
    <w:name w:val="Hyperlink"/>
    <w:basedOn w:val="10"/>
    <w:qFormat/>
    <w:uiPriority w:val="0"/>
    <w:rPr>
      <w:color w:val="0000FF"/>
      <w:u w:val="single"/>
    </w:rPr>
  </w:style>
  <w:style w:type="character" w:customStyle="1" w:styleId="12">
    <w:name w:val="页眉 Char"/>
    <w:basedOn w:val="10"/>
    <w:link w:val="6"/>
    <w:qFormat/>
    <w:uiPriority w:val="0"/>
    <w:rPr>
      <w:kern w:val="2"/>
      <w:sz w:val="18"/>
      <w:szCs w:val="18"/>
    </w:rPr>
  </w:style>
  <w:style w:type="character" w:customStyle="1" w:styleId="13">
    <w:name w:val="页脚 Char"/>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1765</Words>
  <Characters>1956</Characters>
  <Lines>11</Lines>
  <Paragraphs>3</Paragraphs>
  <TotalTime>1</TotalTime>
  <ScaleCrop>false</ScaleCrop>
  <LinksUpToDate>false</LinksUpToDate>
  <CharactersWithSpaces>1956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2020-03-23T11:03:00Z</cp:lastPrinted>
  <dcterms:modified xsi:type="dcterms:W3CDTF">2026-11-03T03:51:46Z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