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64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>
      <w:pPr>
        <w:spacing w:line="560" w:lineRule="exact"/>
        <w:ind w:right="640"/>
        <w:rPr>
          <w:rFonts w:hint="eastAsia" w:ascii="黑体" w:hAnsi="黑体" w:eastAsia="黑体"/>
          <w:sz w:val="32"/>
          <w:szCs w:val="32"/>
          <w:lang w:val="en-US" w:eastAsia="zh-CN"/>
        </w:rPr>
      </w:pPr>
    </w:p>
    <w:p>
      <w:pPr>
        <w:pStyle w:val="2"/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北京市知识产权金融扶持政策质押融资“直达快享”试点银行名单</w:t>
      </w:r>
    </w:p>
    <w:p/>
    <w:p>
      <w:pPr>
        <w:numPr>
          <w:ilvl w:val="0"/>
          <w:numId w:val="1"/>
        </w:numPr>
        <w:ind w:left="0" w:leftChars="0" w:firstLine="838" w:firstLineChars="26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北京农村商业银行股份有限公司</w:t>
      </w:r>
    </w:p>
    <w:p>
      <w:pPr>
        <w:numPr>
          <w:ilvl w:val="0"/>
          <w:numId w:val="1"/>
        </w:numPr>
        <w:ind w:left="0" w:leftChars="0" w:firstLine="838" w:firstLineChars="26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北京银行股份有限公司</w:t>
      </w:r>
    </w:p>
    <w:p>
      <w:pPr>
        <w:numPr>
          <w:ilvl w:val="0"/>
          <w:numId w:val="1"/>
        </w:numPr>
        <w:ind w:left="0" w:leftChars="0" w:firstLine="838" w:firstLineChars="26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北京中关村银行股份有限公司</w:t>
      </w:r>
    </w:p>
    <w:p>
      <w:pPr>
        <w:numPr>
          <w:ilvl w:val="0"/>
          <w:numId w:val="1"/>
        </w:numPr>
        <w:ind w:left="0" w:leftChars="0" w:firstLine="838" w:firstLineChars="26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厦门国际银行北京分行</w:t>
      </w:r>
    </w:p>
    <w:p>
      <w:pPr>
        <w:numPr>
          <w:ilvl w:val="0"/>
          <w:numId w:val="1"/>
        </w:numPr>
        <w:ind w:left="0" w:leftChars="0" w:firstLine="838" w:firstLineChars="26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天津银行股份有限公司北京分行</w:t>
      </w:r>
    </w:p>
    <w:p>
      <w:pPr>
        <w:numPr>
          <w:ilvl w:val="0"/>
          <w:numId w:val="1"/>
        </w:numPr>
        <w:ind w:left="0" w:leftChars="0" w:firstLine="838" w:firstLineChars="26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中国农业银行股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份有限公司北京市分行</w:t>
      </w:r>
    </w:p>
    <w:p>
      <w:pPr>
        <w:numPr>
          <w:ilvl w:val="0"/>
          <w:numId w:val="1"/>
        </w:numPr>
        <w:ind w:left="0" w:leftChars="0" w:firstLine="838" w:firstLineChars="26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中国民生银行股份有限公司北京分行</w:t>
      </w: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DEBAAD"/>
    <w:multiLevelType w:val="singleLevel"/>
    <w:tmpl w:val="F5DEBAA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F0062"/>
    <w:rsid w:val="01D532F6"/>
    <w:rsid w:val="7EFF2946"/>
    <w:rsid w:val="BEFF89C2"/>
    <w:rsid w:val="FF7F0062"/>
    <w:rsid w:val="FFED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rPr>
      <w:rFonts w:ascii="宋体" w:hAnsi="宋体" w:eastAsiaTheme="minorEastAsia"/>
      <w:sz w:val="32"/>
      <w:szCs w:val="32"/>
      <w:lang w:val="zh-CN" w:bidi="zh-CN"/>
    </w:rPr>
  </w:style>
  <w:style w:type="character" w:styleId="5">
    <w:name w:val="Emphasis"/>
    <w:basedOn w:val="4"/>
    <w:qFormat/>
    <w:uiPriority w:val="0"/>
    <w:rPr>
      <w:i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2026-10-20T18:13:00Z</dcterms:created>
  <dc:creator>张慧玲</dc:creator>
  <cp:lastModifiedBy>张慧玲</cp:lastModifiedBy>
  <cp:lastPrinted>2026-10-20T02:54:00Z</cp:lastPrinted>
  <dcterms:modified xsi:type="dcterms:W3CDTF">2026-10-19T17:51:34Z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