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53854">
      <w:pPr>
        <w:pStyle w:val="12"/>
        <w:widowControl w:val="0"/>
        <w:adjustRightInd w:val="0"/>
        <w:snapToGrid w:val="0"/>
        <w:spacing w:before="0" w:beforeAutospacing="0" w:after="0" w:afterAutospacing="0" w:line="560" w:lineRule="exact"/>
        <w:rPr>
          <w:rFonts w:ascii="黑体" w:hAnsi="黑体" w:eastAsia="黑体"/>
          <w:kern w:val="2"/>
          <w:sz w:val="32"/>
          <w:szCs w:val="32"/>
        </w:rPr>
      </w:pPr>
      <w:r>
        <w:rPr>
          <w:rFonts w:hint="eastAsia" w:ascii="黑体" w:hAnsi="黑体" w:eastAsia="黑体"/>
          <w:kern w:val="2"/>
          <w:sz w:val="32"/>
          <w:szCs w:val="32"/>
        </w:rPr>
        <w:t>京建法〔2026〕1号附件</w:t>
      </w:r>
    </w:p>
    <w:p w14:paraId="74C60433">
      <w:pPr>
        <w:pStyle w:val="12"/>
        <w:widowControl w:val="0"/>
        <w:adjustRightInd w:val="0"/>
        <w:snapToGrid w:val="0"/>
        <w:spacing w:before="0" w:beforeAutospacing="0" w:after="0" w:afterAutospacing="0" w:line="560" w:lineRule="exact"/>
        <w:rPr>
          <w:rFonts w:ascii="方正小标宋简体" w:eastAsia="方正小标宋简体"/>
          <w:sz w:val="44"/>
          <w:szCs w:val="44"/>
        </w:rPr>
      </w:pPr>
    </w:p>
    <w:p w14:paraId="7AF1C15F">
      <w:pPr>
        <w:pStyle w:val="12"/>
        <w:widowControl w:val="0"/>
        <w:adjustRightInd w:val="0"/>
        <w:snapToGrid w:val="0"/>
        <w:spacing w:before="0" w:beforeAutospacing="0" w:after="0" w:afterAutospacing="0" w:line="560" w:lineRule="exact"/>
        <w:jc w:val="center"/>
        <w:rPr>
          <w:rFonts w:ascii="方正小标宋简体" w:eastAsia="方正小标宋简体"/>
          <w:sz w:val="44"/>
          <w:szCs w:val="44"/>
        </w:rPr>
      </w:pPr>
      <w:r>
        <w:rPr>
          <w:rFonts w:hint="eastAsia" w:ascii="方正小标宋简体" w:eastAsia="方正小标宋简体"/>
          <w:sz w:val="44"/>
          <w:szCs w:val="44"/>
        </w:rPr>
        <w:t>关于执行2025年《北京市建设工程计价依据</w:t>
      </w:r>
    </w:p>
    <w:p w14:paraId="32814EDA">
      <w:pPr>
        <w:pStyle w:val="12"/>
        <w:widowControl w:val="0"/>
        <w:adjustRightInd w:val="0"/>
        <w:snapToGrid w:val="0"/>
        <w:spacing w:before="0" w:beforeAutospacing="0" w:after="0" w:afterAutospacing="0" w:line="560" w:lineRule="exact"/>
        <w:jc w:val="center"/>
        <w:rPr>
          <w:rFonts w:ascii="方正小标宋简体" w:eastAsia="方正小标宋简体"/>
          <w:sz w:val="44"/>
          <w:szCs w:val="44"/>
        </w:rPr>
      </w:pPr>
      <w:r>
        <w:rPr>
          <w:rFonts w:hint="eastAsia" w:ascii="方正小标宋简体" w:eastAsia="方正小标宋简体"/>
          <w:sz w:val="44"/>
          <w:szCs w:val="44"/>
        </w:rPr>
        <w:t>——概算消耗量标准》的规定</w:t>
      </w:r>
    </w:p>
    <w:p w14:paraId="2F5E6527">
      <w:pPr>
        <w:pStyle w:val="12"/>
        <w:widowControl w:val="0"/>
        <w:adjustRightInd w:val="0"/>
        <w:snapToGrid w:val="0"/>
        <w:spacing w:before="0" w:beforeAutospacing="0" w:after="0" w:afterAutospacing="0" w:line="560" w:lineRule="exact"/>
        <w:rPr>
          <w:rFonts w:ascii="仿宋_GB2312" w:hAnsi="仿宋_GB2312" w:eastAsia="仿宋_GB2312" w:cs="仿宋_GB2312"/>
          <w:sz w:val="32"/>
          <w:szCs w:val="32"/>
          <w:shd w:val="clear" w:color="auto" w:fill="FFFFFF"/>
        </w:rPr>
      </w:pPr>
    </w:p>
    <w:p w14:paraId="3457BB64">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一、本市行政区域内新建、扩建的房屋建筑（含装饰装修工程）和市政基础设施工程以及市政改建工程的初步设计概算中建筑安装工程费（以下简称“建安费”）的确定，适用本规定。</w:t>
      </w:r>
    </w:p>
    <w:p w14:paraId="744C7DFA">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国有资金投资项目的建安费应依据2025年《北京市建设工程计价依据——概算消耗量标准》（以下简称《概算消耗量标准》）和《北京工程造价信息（建设工程）》等确定；非国有资金投资项目的建安费，可参照确定。</w:t>
      </w:r>
    </w:p>
    <w:p w14:paraId="78271A6E">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概算消耗量标准》中人工、材料、施工机具等施工生产要素的价格，应依据初步设计概算编制期的《北京工程造价信息（建设工程）》中不含增值税可抵扣进项税的“工程造价信息价”确定，其中人工工日单价按“人工工日市场价格信息（含企业及个人按国家相关规定应缴纳的社会保险费和住房公积金）”合理确定。初步设计概算编制期“工程造价信息价”中未包括材料、施工机具的价格，初步设计概算的编制人（以下简称“概算编制人”）应通过市场询价方式合理确定，其中施工机具的台班单价应为包括燃料、司机及其他操作人员（如需）等费用的市场租赁价格。</w:t>
      </w:r>
    </w:p>
    <w:p w14:paraId="05D1A729">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1.弃土（石）方、渣土消纳的价格，概算编制人应结合《北京市住房和城乡建设委员会关于建筑垃圾运输处置费用单独列项计价的通知》（京建法〔2017〕27号）规定，合理确定。</w:t>
      </w:r>
    </w:p>
    <w:p w14:paraId="016F7AAD">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机械设备安装工程、热力设备安装工程、静置设备与工艺金属结构制作安装工程、自动化控制仪表安装工程、工业管道工程、信息通信设备与线缆安装工程等专业工程的施工生产要素的数量应依据北京市地方标准《建设工程施工消耗量标准》（DB11/T 2382）中相应的项目确定，单价按本条第（一）项的方式确定。</w:t>
      </w:r>
    </w:p>
    <w:p w14:paraId="5A274983">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3.《概算消耗量标准》《建设工程施工消耗量标准》（DB11/T 2382）中未包括或不适用的项目，其施工生产要素的数量，可由概算编制人参考类似项目补充，其工程量计算规则应与《概算消耗量标准》的口径保持一致。</w:t>
      </w:r>
    </w:p>
    <w:p w14:paraId="4A3318A7">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安全生产标准化措施费应按《北京市住房和城乡建设委员会关于印发〈北京市建设工程安全文明施工费管理办法（试行）〉的通知》（京建法〔2019〕9号）的规定且不低于《北京市住房和城乡建设委员会关于执行〈建设工程工程量清单计价标准〉及配套工程量计算标准的实施意见》（京建发〔2025〕377号）中相应项目的“绿色（一般计税方式）”费率标准，合理确定。</w:t>
      </w:r>
    </w:p>
    <w:p w14:paraId="239F5738">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施工垃圾场外运输和消纳费应按《北京市住房和城乡建设委员会关于建筑垃圾运输处置费用单独列项计价的通知》（京建法〔2017〕27号）的规定和《北京市住房和城乡建设委员会关于执行〈建设工程工程量清单计价标准〉及配套工程量计算标准的实施意见》（京建发〔2025〕377号）的相应费用标准，合理确定。</w:t>
      </w:r>
    </w:p>
    <w:p w14:paraId="5E0F656F">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四）不可精确计量措施费（除施工垃圾场外运输和消纳费及安全生产标准化措施费外）应由概算编制人自主测算确定，不得低于初步设计概算编制期《北京工程造价信息（建设工程）》中“费用指标（一般计税）”的相应指标中间值，其中初步设计概算编制期“费用指标（一般计税）”未包括或不适用的，概算编制人应结合工程具体情况，合理确定。</w:t>
      </w:r>
    </w:p>
    <w:p w14:paraId="24CECA04">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五）受初步设计图纸深度不足等因素导致无法计量计价的零星工程且不属于本条第（一）项第2、3目的分部分项工程费用，可以本条第（一）～（四）项的合计费用为基数，并结合设计图纸的详尽情况，按1%～3%计取。</w:t>
      </w:r>
    </w:p>
    <w:p w14:paraId="2DB254C3">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（六）企业管理费、利润由概算编制人自主测算确定，不得低于初步设计概算编制期《北京工程造价信息（建设工程）》中“费用指标（一般计税）”的相应指标中间值。</w:t>
      </w:r>
    </w:p>
    <w:p w14:paraId="06395079">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（七）增值税按国家政策文件中一般计税方式的增值税税率计算确定，规费不再单独列项计价。</w:t>
      </w:r>
    </w:p>
    <w:p w14:paraId="3A3E75D0">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（八）依据《概算消耗量标准》及本规定确定建安费时，应按《建设工程初步设计概算的计价程序表》（见附件）执行。</w:t>
      </w:r>
    </w:p>
    <w:p w14:paraId="19A1B126">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三、本市建设工程造价管理机构应依据政策规定和市场实际，适时采取动态调整方式对《概算消耗量标准》进行修订。</w:t>
      </w:r>
    </w:p>
    <w:p w14:paraId="549B0011">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四、本规定自2026年5月1日（含）起执行。《北京市住房城乡建设委员会关于执行2016年〈北京市建设工程计价依据——概算定额〉有关规定的通知》（京建法〔2016〕20号）同时废止，2026年5月1日（不含）前，已按2016年《北京市建设工程计价依据——概算定额》及其配套文件规定编制并批复的初步设计概算发生调整的，仍按原规定执行。</w:t>
      </w:r>
    </w:p>
    <w:p w14:paraId="3A43D1F9">
      <w:pPr>
        <w:adjustRightInd w:val="0"/>
        <w:snapToGrid w:val="0"/>
        <w:spacing w:line="560" w:lineRule="exact"/>
        <w:ind w:firstLine="640" w:firstLineChars="200"/>
        <w:rPr>
          <w:rFonts w:ascii="仿宋_GB2312" w:eastAsia="仿宋_GB2312"/>
          <w:sz w:val="32"/>
          <w:szCs w:val="32"/>
        </w:rPr>
      </w:pPr>
    </w:p>
    <w:p w14:paraId="53BB5DA0">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附件：建设工程初步设计概算的计价程序表</w:t>
      </w:r>
    </w:p>
    <w:p w14:paraId="26CE2497">
      <w:pPr>
        <w:adjustRightInd w:val="0"/>
        <w:snapToGrid w:val="0"/>
        <w:spacing w:line="560" w:lineRule="exact"/>
        <w:rPr>
          <w:rFonts w:ascii="黑体" w:hAnsi="黑体" w:eastAsia="黑体" w:cs="黑体"/>
          <w:kern w:val="0"/>
          <w:sz w:val="32"/>
          <w:szCs w:val="32"/>
        </w:rPr>
      </w:pPr>
      <w:r>
        <w:rPr>
          <w:rFonts w:hint="eastAsia" w:ascii="仿宋_GB2312" w:eastAsia="仿宋_GB2312"/>
          <w:sz w:val="32"/>
          <w:szCs w:val="32"/>
        </w:rPr>
        <w:br w:type="page"/>
      </w:r>
      <w:r>
        <w:rPr>
          <w:rFonts w:hint="eastAsia" w:ascii="黑体" w:hAnsi="黑体" w:eastAsia="黑体" w:cs="黑体"/>
          <w:kern w:val="0"/>
          <w:sz w:val="32"/>
          <w:szCs w:val="32"/>
        </w:rPr>
        <w:t>附件</w:t>
      </w:r>
    </w:p>
    <w:p w14:paraId="1FB5098F">
      <w:pPr>
        <w:widowControl/>
        <w:spacing w:line="270" w:lineRule="atLeast"/>
        <w:jc w:val="left"/>
        <w:rPr>
          <w:rFonts w:ascii="宋体" w:hAnsi="宋体" w:cs="宋体"/>
          <w:kern w:val="0"/>
          <w:sz w:val="24"/>
        </w:rPr>
      </w:pPr>
    </w:p>
    <w:p w14:paraId="66A1D59A">
      <w:pPr>
        <w:widowControl/>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建设工程初步设计概算的计价程序表</w:t>
      </w:r>
    </w:p>
    <w:p w14:paraId="3956D765">
      <w:pPr>
        <w:pStyle w:val="12"/>
        <w:adjustRightInd w:val="0"/>
        <w:snapToGrid w:val="0"/>
        <w:spacing w:before="0" w:beforeAutospacing="0" w:after="0" w:afterAutospacing="0" w:line="560" w:lineRule="exact"/>
        <w:jc w:val="center"/>
        <w:rPr>
          <w:rFonts w:ascii="楷体_GB2312" w:hAnsi="仿宋_GB2312" w:eastAsia="楷体_GB2312" w:cs="仿宋_GB2312"/>
          <w:color w:val="404040"/>
          <w:sz w:val="28"/>
          <w:szCs w:val="28"/>
          <w:shd w:val="clear" w:color="auto" w:fill="FFFFFF"/>
        </w:rPr>
      </w:pPr>
      <w:r>
        <w:rPr>
          <w:rFonts w:hint="eastAsia" w:ascii="楷体_GB2312" w:eastAsia="楷体_GB2312" w:cs="宋体"/>
          <w:sz w:val="28"/>
          <w:szCs w:val="28"/>
        </w:rPr>
        <w:t>（单位工程建筑安装工程费）</w:t>
      </w:r>
    </w:p>
    <w:tbl>
      <w:tblPr>
        <w:tblStyle w:val="13"/>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2437"/>
        <w:gridCol w:w="2396"/>
        <w:gridCol w:w="3455"/>
      </w:tblGrid>
      <w:tr w14:paraId="092E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48" w:type="dxa"/>
            <w:vAlign w:val="center"/>
          </w:tcPr>
          <w:p w14:paraId="3ADD93D9">
            <w:pPr>
              <w:widowControl/>
              <w:adjustRightInd w:val="0"/>
              <w:snapToGrid w:val="0"/>
              <w:jc w:val="center"/>
              <w:rPr>
                <w:rFonts w:ascii="黑体" w:hAnsi="黑体" w:eastAsia="黑体" w:cs="仿宋_GB2312"/>
                <w:color w:val="000000"/>
                <w:kern w:val="0"/>
                <w:sz w:val="24"/>
              </w:rPr>
            </w:pPr>
            <w:r>
              <w:rPr>
                <w:rFonts w:hint="eastAsia" w:ascii="黑体" w:hAnsi="黑体" w:eastAsia="黑体" w:cs="仿宋_GB2312"/>
                <w:color w:val="000000"/>
                <w:kern w:val="0"/>
                <w:sz w:val="24"/>
              </w:rPr>
              <w:t>序号</w:t>
            </w:r>
          </w:p>
        </w:tc>
        <w:tc>
          <w:tcPr>
            <w:tcW w:w="2437" w:type="dxa"/>
            <w:vAlign w:val="center"/>
          </w:tcPr>
          <w:p w14:paraId="7B5B9DCB">
            <w:pPr>
              <w:widowControl/>
              <w:adjustRightInd w:val="0"/>
              <w:snapToGrid w:val="0"/>
              <w:jc w:val="center"/>
              <w:rPr>
                <w:rFonts w:ascii="黑体" w:hAnsi="黑体" w:eastAsia="黑体" w:cs="仿宋_GB2312"/>
                <w:color w:val="000000"/>
                <w:kern w:val="0"/>
                <w:sz w:val="24"/>
              </w:rPr>
            </w:pPr>
            <w:r>
              <w:rPr>
                <w:rFonts w:hint="eastAsia" w:ascii="黑体" w:hAnsi="黑体" w:eastAsia="黑体" w:cs="仿宋_GB2312"/>
                <w:color w:val="000000"/>
                <w:kern w:val="0"/>
                <w:sz w:val="24"/>
              </w:rPr>
              <w:t>项目</w:t>
            </w:r>
          </w:p>
        </w:tc>
        <w:tc>
          <w:tcPr>
            <w:tcW w:w="2396" w:type="dxa"/>
            <w:vAlign w:val="center"/>
          </w:tcPr>
          <w:p w14:paraId="522FF24A">
            <w:pPr>
              <w:widowControl/>
              <w:adjustRightInd w:val="0"/>
              <w:snapToGrid w:val="0"/>
              <w:jc w:val="center"/>
              <w:rPr>
                <w:rFonts w:ascii="黑体" w:hAnsi="黑体" w:eastAsia="黑体" w:cs="仿宋_GB2312"/>
                <w:color w:val="000000"/>
                <w:kern w:val="0"/>
                <w:sz w:val="24"/>
              </w:rPr>
            </w:pPr>
            <w:r>
              <w:rPr>
                <w:rFonts w:hint="eastAsia" w:ascii="黑体" w:hAnsi="黑体" w:eastAsia="黑体" w:cs="仿宋_GB2312"/>
                <w:color w:val="000000"/>
                <w:kern w:val="0"/>
                <w:sz w:val="24"/>
              </w:rPr>
              <w:t>计算式</w:t>
            </w:r>
          </w:p>
        </w:tc>
        <w:tc>
          <w:tcPr>
            <w:tcW w:w="3455" w:type="dxa"/>
            <w:vAlign w:val="center"/>
          </w:tcPr>
          <w:p w14:paraId="539A2C3B">
            <w:pPr>
              <w:widowControl/>
              <w:adjustRightInd w:val="0"/>
              <w:snapToGrid w:val="0"/>
              <w:jc w:val="center"/>
              <w:rPr>
                <w:rFonts w:ascii="黑体" w:hAnsi="黑体" w:eastAsia="黑体" w:cs="仿宋_GB2312"/>
                <w:color w:val="000000"/>
                <w:kern w:val="0"/>
                <w:sz w:val="24"/>
              </w:rPr>
            </w:pPr>
            <w:r>
              <w:rPr>
                <w:rFonts w:hint="eastAsia" w:ascii="黑体" w:hAnsi="黑体" w:eastAsia="黑体" w:cs="仿宋_GB2312"/>
                <w:color w:val="000000"/>
                <w:kern w:val="0"/>
                <w:sz w:val="24"/>
              </w:rPr>
              <w:t>备注</w:t>
            </w:r>
          </w:p>
        </w:tc>
      </w:tr>
      <w:tr w14:paraId="1427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748" w:type="dxa"/>
            <w:vAlign w:val="center"/>
          </w:tcPr>
          <w:p w14:paraId="5F28D52D">
            <w:pPr>
              <w:widowControl/>
              <w:adjustRightInd w:val="0"/>
              <w:snapToGrid w:val="0"/>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w:t>
            </w:r>
          </w:p>
        </w:tc>
        <w:tc>
          <w:tcPr>
            <w:tcW w:w="2437" w:type="dxa"/>
            <w:vAlign w:val="center"/>
          </w:tcPr>
          <w:p w14:paraId="7C491D7A">
            <w:pPr>
              <w:widowControl/>
              <w:adjustRightInd w:val="0"/>
              <w:snapToGrid w:val="0"/>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szCs w:val="21"/>
              </w:rPr>
              <w:t>依据《概算消耗量标准》计取的费用</w:t>
            </w:r>
          </w:p>
        </w:tc>
        <w:tc>
          <w:tcPr>
            <w:tcW w:w="2396" w:type="dxa"/>
            <w:vAlign w:val="center"/>
          </w:tcPr>
          <w:p w14:paraId="44177E3A">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按本规定第二条（一）项计算的“人工费+材料费+施工机具使用费”</w:t>
            </w:r>
          </w:p>
        </w:tc>
        <w:tc>
          <w:tcPr>
            <w:tcW w:w="3455" w:type="dxa"/>
            <w:vAlign w:val="center"/>
          </w:tcPr>
          <w:p w14:paraId="6E4A2B00">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材料费包括工程设备费</w:t>
            </w:r>
          </w:p>
        </w:tc>
      </w:tr>
      <w:tr w14:paraId="202B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48" w:type="dxa"/>
            <w:vAlign w:val="center"/>
          </w:tcPr>
          <w:p w14:paraId="7799C997">
            <w:pPr>
              <w:widowControl/>
              <w:adjustRightInd w:val="0"/>
              <w:snapToGrid w:val="0"/>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1.1</w:t>
            </w:r>
          </w:p>
        </w:tc>
        <w:tc>
          <w:tcPr>
            <w:tcW w:w="2437" w:type="dxa"/>
            <w:vAlign w:val="center"/>
          </w:tcPr>
          <w:p w14:paraId="6A635FDC">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其中：人工费</w:t>
            </w:r>
          </w:p>
        </w:tc>
        <w:tc>
          <w:tcPr>
            <w:tcW w:w="2396" w:type="dxa"/>
            <w:vAlign w:val="center"/>
          </w:tcPr>
          <w:p w14:paraId="7A0B7D2F">
            <w:pPr>
              <w:widowControl/>
              <w:adjustRightInd w:val="0"/>
              <w:snapToGrid w:val="0"/>
              <w:jc w:val="center"/>
              <w:rPr>
                <w:rFonts w:ascii="仿宋_GB2312" w:hAnsi="仿宋_GB2312" w:eastAsia="仿宋_GB2312" w:cs="仿宋_GB2312"/>
                <w:color w:val="000000"/>
                <w:szCs w:val="21"/>
              </w:rPr>
            </w:pPr>
          </w:p>
        </w:tc>
        <w:tc>
          <w:tcPr>
            <w:tcW w:w="3455" w:type="dxa"/>
            <w:vAlign w:val="center"/>
          </w:tcPr>
          <w:p w14:paraId="10221E6C">
            <w:pPr>
              <w:widowControl/>
              <w:adjustRightInd w:val="0"/>
              <w:snapToGrid w:val="0"/>
              <w:jc w:val="center"/>
              <w:rPr>
                <w:rFonts w:ascii="仿宋_GB2312" w:hAnsi="仿宋_GB2312" w:eastAsia="仿宋_GB2312" w:cs="仿宋_GB2312"/>
                <w:color w:val="000000"/>
                <w:szCs w:val="21"/>
              </w:rPr>
            </w:pPr>
          </w:p>
        </w:tc>
      </w:tr>
      <w:tr w14:paraId="5F2E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48" w:type="dxa"/>
            <w:vAlign w:val="center"/>
          </w:tcPr>
          <w:p w14:paraId="46540EF0">
            <w:pPr>
              <w:widowControl/>
              <w:adjustRightInd w:val="0"/>
              <w:snapToGrid w:val="0"/>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1.2</w:t>
            </w:r>
          </w:p>
        </w:tc>
        <w:tc>
          <w:tcPr>
            <w:tcW w:w="2437" w:type="dxa"/>
            <w:vAlign w:val="center"/>
          </w:tcPr>
          <w:p w14:paraId="2EA82A5B">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其中：施工机具使用费</w:t>
            </w:r>
          </w:p>
        </w:tc>
        <w:tc>
          <w:tcPr>
            <w:tcW w:w="2396" w:type="dxa"/>
            <w:vAlign w:val="center"/>
          </w:tcPr>
          <w:p w14:paraId="7903150F">
            <w:pPr>
              <w:widowControl/>
              <w:adjustRightInd w:val="0"/>
              <w:snapToGrid w:val="0"/>
              <w:jc w:val="center"/>
              <w:rPr>
                <w:rFonts w:ascii="仿宋_GB2312" w:hAnsi="仿宋_GB2312" w:eastAsia="仿宋_GB2312" w:cs="仿宋_GB2312"/>
                <w:color w:val="000000"/>
                <w:szCs w:val="21"/>
              </w:rPr>
            </w:pPr>
          </w:p>
        </w:tc>
        <w:tc>
          <w:tcPr>
            <w:tcW w:w="3455" w:type="dxa"/>
            <w:vAlign w:val="center"/>
          </w:tcPr>
          <w:p w14:paraId="43BDFDCA">
            <w:pPr>
              <w:widowControl/>
              <w:adjustRightInd w:val="0"/>
              <w:snapToGrid w:val="0"/>
              <w:jc w:val="center"/>
              <w:rPr>
                <w:rFonts w:ascii="仿宋_GB2312" w:hAnsi="仿宋_GB2312" w:eastAsia="仿宋_GB2312" w:cs="仿宋_GB2312"/>
                <w:color w:val="000000"/>
                <w:szCs w:val="21"/>
              </w:rPr>
            </w:pPr>
          </w:p>
        </w:tc>
      </w:tr>
      <w:tr w14:paraId="73DC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48" w:type="dxa"/>
            <w:vAlign w:val="center"/>
          </w:tcPr>
          <w:p w14:paraId="79815F38">
            <w:pPr>
              <w:widowControl/>
              <w:adjustRightInd w:val="0"/>
              <w:snapToGrid w:val="0"/>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1.3</w:t>
            </w:r>
          </w:p>
        </w:tc>
        <w:tc>
          <w:tcPr>
            <w:tcW w:w="2437" w:type="dxa"/>
            <w:vAlign w:val="center"/>
          </w:tcPr>
          <w:p w14:paraId="0188F6B2">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其中：工程设备费</w:t>
            </w:r>
          </w:p>
        </w:tc>
        <w:tc>
          <w:tcPr>
            <w:tcW w:w="2396" w:type="dxa"/>
            <w:vAlign w:val="center"/>
          </w:tcPr>
          <w:p w14:paraId="782242AF">
            <w:pPr>
              <w:widowControl/>
              <w:adjustRightInd w:val="0"/>
              <w:snapToGrid w:val="0"/>
              <w:jc w:val="center"/>
              <w:rPr>
                <w:rFonts w:ascii="仿宋_GB2312" w:hAnsi="仿宋_GB2312" w:eastAsia="仿宋_GB2312" w:cs="仿宋_GB2312"/>
                <w:color w:val="000000"/>
                <w:szCs w:val="21"/>
              </w:rPr>
            </w:pPr>
          </w:p>
        </w:tc>
        <w:tc>
          <w:tcPr>
            <w:tcW w:w="3455" w:type="dxa"/>
            <w:vAlign w:val="center"/>
          </w:tcPr>
          <w:p w14:paraId="06FCB2F9">
            <w:pPr>
              <w:widowControl/>
              <w:adjustRightInd w:val="0"/>
              <w:snapToGrid w:val="0"/>
              <w:jc w:val="center"/>
              <w:rPr>
                <w:rFonts w:ascii="仿宋_GB2312" w:hAnsi="仿宋_GB2312" w:eastAsia="仿宋_GB2312" w:cs="仿宋_GB2312"/>
                <w:color w:val="000000"/>
                <w:szCs w:val="21"/>
              </w:rPr>
            </w:pPr>
          </w:p>
        </w:tc>
      </w:tr>
      <w:tr w14:paraId="56324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748" w:type="dxa"/>
            <w:vAlign w:val="center"/>
          </w:tcPr>
          <w:p w14:paraId="5080FB6B">
            <w:pPr>
              <w:widowControl/>
              <w:adjustRightInd w:val="0"/>
              <w:snapToGrid w:val="0"/>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w:t>
            </w:r>
          </w:p>
        </w:tc>
        <w:tc>
          <w:tcPr>
            <w:tcW w:w="2437" w:type="dxa"/>
            <w:vAlign w:val="center"/>
          </w:tcPr>
          <w:p w14:paraId="79AED1A9">
            <w:pPr>
              <w:widowControl/>
              <w:adjustRightInd w:val="0"/>
              <w:snapToGrid w:val="0"/>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szCs w:val="21"/>
              </w:rPr>
              <w:t>安全生产标准化措施费</w:t>
            </w:r>
          </w:p>
        </w:tc>
        <w:tc>
          <w:tcPr>
            <w:tcW w:w="2396" w:type="dxa"/>
            <w:vAlign w:val="center"/>
          </w:tcPr>
          <w:p w14:paraId="48231636">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按本规定，合理确定</w:t>
            </w:r>
          </w:p>
        </w:tc>
        <w:tc>
          <w:tcPr>
            <w:tcW w:w="3455" w:type="dxa"/>
            <w:vAlign w:val="center"/>
          </w:tcPr>
          <w:p w14:paraId="4B4EE314">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应不低于按对应项目“绿色（一般计税方式）”费用标准计算的费用。</w:t>
            </w:r>
          </w:p>
        </w:tc>
      </w:tr>
      <w:tr w14:paraId="7471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48" w:type="dxa"/>
            <w:vAlign w:val="center"/>
          </w:tcPr>
          <w:p w14:paraId="24CD1149">
            <w:pPr>
              <w:widowControl/>
              <w:adjustRightInd w:val="0"/>
              <w:snapToGrid w:val="0"/>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3</w:t>
            </w:r>
          </w:p>
        </w:tc>
        <w:tc>
          <w:tcPr>
            <w:tcW w:w="2437" w:type="dxa"/>
            <w:vAlign w:val="center"/>
          </w:tcPr>
          <w:p w14:paraId="21DE1C56">
            <w:pPr>
              <w:widowControl/>
              <w:adjustRightInd w:val="0"/>
              <w:snapToGrid w:val="0"/>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szCs w:val="21"/>
              </w:rPr>
              <w:t>施工垃圾场外运输和消纳费</w:t>
            </w:r>
          </w:p>
        </w:tc>
        <w:tc>
          <w:tcPr>
            <w:tcW w:w="2396" w:type="dxa"/>
            <w:vAlign w:val="center"/>
          </w:tcPr>
          <w:p w14:paraId="0A8C007D">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（1.1+1.2）×相关文件的费用标准</w:t>
            </w:r>
          </w:p>
        </w:tc>
        <w:tc>
          <w:tcPr>
            <w:tcW w:w="3455" w:type="dxa"/>
            <w:vAlign w:val="center"/>
          </w:tcPr>
          <w:p w14:paraId="5A2D77C0">
            <w:pPr>
              <w:widowControl/>
              <w:adjustRightInd w:val="0"/>
              <w:snapToGrid w:val="0"/>
              <w:jc w:val="center"/>
              <w:rPr>
                <w:rFonts w:ascii="仿宋_GB2312" w:hAnsi="仿宋_GB2312" w:eastAsia="仿宋_GB2312" w:cs="仿宋_GB2312"/>
                <w:color w:val="000000"/>
                <w:szCs w:val="21"/>
              </w:rPr>
            </w:pPr>
          </w:p>
        </w:tc>
      </w:tr>
      <w:tr w14:paraId="3CC8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748" w:type="dxa"/>
            <w:vAlign w:val="center"/>
          </w:tcPr>
          <w:p w14:paraId="4848FA33">
            <w:pPr>
              <w:widowControl/>
              <w:adjustRightInd w:val="0"/>
              <w:snapToGrid w:val="0"/>
              <w:jc w:val="center"/>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4</w:t>
            </w:r>
          </w:p>
        </w:tc>
        <w:tc>
          <w:tcPr>
            <w:tcW w:w="2437" w:type="dxa"/>
            <w:vAlign w:val="center"/>
          </w:tcPr>
          <w:p w14:paraId="3D1CEBA7">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不可精确计量措施项目费</w:t>
            </w:r>
          </w:p>
        </w:tc>
        <w:tc>
          <w:tcPr>
            <w:tcW w:w="2396" w:type="dxa"/>
            <w:vAlign w:val="center"/>
          </w:tcPr>
          <w:p w14:paraId="06693F4F">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按本规定，合理确定</w:t>
            </w:r>
          </w:p>
        </w:tc>
        <w:tc>
          <w:tcPr>
            <w:tcW w:w="3455" w:type="dxa"/>
            <w:vAlign w:val="center"/>
          </w:tcPr>
          <w:p w14:paraId="313E8AB9">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应不低于按初步设计概算编制期的《北京工程造价信息（建设工程）》中相应费用指标（一般计税）的中间值计算的费用，不含现场管理费</w:t>
            </w:r>
          </w:p>
        </w:tc>
      </w:tr>
      <w:tr w14:paraId="4719C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748" w:type="dxa"/>
            <w:vAlign w:val="center"/>
          </w:tcPr>
          <w:p w14:paraId="4E40F927">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5</w:t>
            </w:r>
          </w:p>
        </w:tc>
        <w:tc>
          <w:tcPr>
            <w:tcW w:w="2437" w:type="dxa"/>
            <w:vAlign w:val="center"/>
          </w:tcPr>
          <w:p w14:paraId="46218433">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零星工程费</w:t>
            </w:r>
          </w:p>
        </w:tc>
        <w:tc>
          <w:tcPr>
            <w:tcW w:w="2396" w:type="dxa"/>
            <w:vAlign w:val="center"/>
          </w:tcPr>
          <w:p w14:paraId="5AB21F2B">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（1+2+3+4）×系数</w:t>
            </w:r>
          </w:p>
        </w:tc>
        <w:tc>
          <w:tcPr>
            <w:tcW w:w="3455" w:type="dxa"/>
            <w:vAlign w:val="center"/>
          </w:tcPr>
          <w:p w14:paraId="66B927CB">
            <w:pPr>
              <w:widowControl/>
              <w:adjustRightInd w:val="0"/>
              <w:snapToGrid w:val="0"/>
              <w:jc w:val="center"/>
              <w:rPr>
                <w:rFonts w:ascii="仿宋_GB2312" w:hAnsi="仿宋_GB2312" w:eastAsia="仿宋_GB2312" w:cs="仿宋_GB2312"/>
                <w:color w:val="000000"/>
                <w:szCs w:val="21"/>
              </w:rPr>
            </w:pPr>
          </w:p>
        </w:tc>
      </w:tr>
      <w:tr w14:paraId="7961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748" w:type="dxa"/>
            <w:vAlign w:val="center"/>
          </w:tcPr>
          <w:p w14:paraId="70CE0EE8">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6</w:t>
            </w:r>
          </w:p>
        </w:tc>
        <w:tc>
          <w:tcPr>
            <w:tcW w:w="2437" w:type="dxa"/>
            <w:vAlign w:val="center"/>
          </w:tcPr>
          <w:p w14:paraId="6AEA6443">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现场管理费</w:t>
            </w:r>
          </w:p>
        </w:tc>
        <w:tc>
          <w:tcPr>
            <w:tcW w:w="2396" w:type="dxa"/>
            <w:vMerge w:val="restart"/>
            <w:vAlign w:val="center"/>
          </w:tcPr>
          <w:p w14:paraId="0D1C5088">
            <w:pPr>
              <w:widowControl/>
              <w:adjustRightInd w:val="0"/>
              <w:snapToGrid w:val="0"/>
              <w:jc w:val="center"/>
              <w:rPr>
                <w:rFonts w:ascii="仿宋_GB2312" w:hAnsi="仿宋_GB2312" w:eastAsia="仿宋_GB2312" w:cs="仿宋_GB2312"/>
                <w:color w:val="FF0000"/>
                <w:szCs w:val="21"/>
              </w:rPr>
            </w:pPr>
            <w:r>
              <w:rPr>
                <w:rFonts w:hint="eastAsia" w:ascii="仿宋_GB2312" w:hAnsi="仿宋_GB2312" w:eastAsia="仿宋_GB2312" w:cs="仿宋_GB2312"/>
                <w:color w:val="000000"/>
                <w:szCs w:val="21"/>
              </w:rPr>
              <w:t>按本规定，合理确定</w:t>
            </w:r>
          </w:p>
        </w:tc>
        <w:tc>
          <w:tcPr>
            <w:tcW w:w="3455" w:type="dxa"/>
            <w:vAlign w:val="center"/>
          </w:tcPr>
          <w:p w14:paraId="08FEE18E">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应不低于按（1-1.3+2+3+4+5）×相应费用指标的中间值计算的费用</w:t>
            </w:r>
          </w:p>
        </w:tc>
      </w:tr>
      <w:tr w14:paraId="671B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748" w:type="dxa"/>
            <w:vAlign w:val="center"/>
          </w:tcPr>
          <w:p w14:paraId="621BE287">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7</w:t>
            </w:r>
          </w:p>
        </w:tc>
        <w:tc>
          <w:tcPr>
            <w:tcW w:w="2437" w:type="dxa"/>
            <w:vAlign w:val="center"/>
          </w:tcPr>
          <w:p w14:paraId="22F165E6">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企业管理费</w:t>
            </w:r>
          </w:p>
        </w:tc>
        <w:tc>
          <w:tcPr>
            <w:tcW w:w="2396" w:type="dxa"/>
            <w:vMerge w:val="continue"/>
            <w:vAlign w:val="center"/>
          </w:tcPr>
          <w:p w14:paraId="5CE264E2">
            <w:pPr>
              <w:widowControl/>
              <w:adjustRightInd w:val="0"/>
              <w:snapToGrid w:val="0"/>
              <w:jc w:val="center"/>
              <w:rPr>
                <w:rFonts w:ascii="仿宋_GB2312" w:hAnsi="仿宋_GB2312" w:eastAsia="仿宋_GB2312" w:cs="仿宋_GB2312"/>
                <w:color w:val="000000"/>
                <w:szCs w:val="21"/>
              </w:rPr>
            </w:pPr>
          </w:p>
        </w:tc>
        <w:tc>
          <w:tcPr>
            <w:tcW w:w="3455" w:type="dxa"/>
            <w:vAlign w:val="center"/>
          </w:tcPr>
          <w:p w14:paraId="0F87D9EF">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应不低于按（1-1.3+2+3+4+5+6）×相应费用指标中间值计算的费用</w:t>
            </w:r>
          </w:p>
        </w:tc>
      </w:tr>
      <w:tr w14:paraId="1A28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748" w:type="dxa"/>
            <w:vAlign w:val="center"/>
          </w:tcPr>
          <w:p w14:paraId="4C532BDF">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8</w:t>
            </w:r>
          </w:p>
        </w:tc>
        <w:tc>
          <w:tcPr>
            <w:tcW w:w="2437" w:type="dxa"/>
            <w:vAlign w:val="center"/>
          </w:tcPr>
          <w:p w14:paraId="44C58003">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利润</w:t>
            </w:r>
          </w:p>
        </w:tc>
        <w:tc>
          <w:tcPr>
            <w:tcW w:w="2396" w:type="dxa"/>
            <w:vMerge w:val="continue"/>
            <w:vAlign w:val="center"/>
          </w:tcPr>
          <w:p w14:paraId="3373F74B">
            <w:pPr>
              <w:widowControl/>
              <w:adjustRightInd w:val="0"/>
              <w:snapToGrid w:val="0"/>
              <w:jc w:val="center"/>
              <w:rPr>
                <w:rFonts w:ascii="仿宋_GB2312" w:hAnsi="仿宋_GB2312" w:eastAsia="仿宋_GB2312" w:cs="仿宋_GB2312"/>
                <w:color w:val="000000"/>
                <w:kern w:val="0"/>
                <w:szCs w:val="21"/>
              </w:rPr>
            </w:pPr>
          </w:p>
        </w:tc>
        <w:tc>
          <w:tcPr>
            <w:tcW w:w="3455" w:type="dxa"/>
            <w:vAlign w:val="center"/>
          </w:tcPr>
          <w:p w14:paraId="1DD9F095">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应不低于按（1-1.3+2+3+4+5+6+7）×相应费用指标中间值计算的利润</w:t>
            </w:r>
          </w:p>
        </w:tc>
      </w:tr>
      <w:tr w14:paraId="057E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48" w:type="dxa"/>
            <w:vAlign w:val="center"/>
          </w:tcPr>
          <w:p w14:paraId="3A52BF49">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9</w:t>
            </w:r>
          </w:p>
        </w:tc>
        <w:tc>
          <w:tcPr>
            <w:tcW w:w="2437" w:type="dxa"/>
            <w:vAlign w:val="center"/>
          </w:tcPr>
          <w:p w14:paraId="6E3D6DFB">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增值税</w:t>
            </w:r>
          </w:p>
        </w:tc>
        <w:tc>
          <w:tcPr>
            <w:tcW w:w="2396" w:type="dxa"/>
            <w:vAlign w:val="center"/>
          </w:tcPr>
          <w:p w14:paraId="7FD69559">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（1+2+3+4+5+6+7+8）×税率</w:t>
            </w:r>
          </w:p>
        </w:tc>
        <w:tc>
          <w:tcPr>
            <w:tcW w:w="3455" w:type="dxa"/>
            <w:vAlign w:val="center"/>
          </w:tcPr>
          <w:p w14:paraId="4B47D058">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一般计税方式的增值税税率</w:t>
            </w:r>
          </w:p>
        </w:tc>
      </w:tr>
      <w:tr w14:paraId="54E3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48" w:type="dxa"/>
            <w:vAlign w:val="center"/>
          </w:tcPr>
          <w:p w14:paraId="6AF196BB">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10</w:t>
            </w:r>
          </w:p>
        </w:tc>
        <w:tc>
          <w:tcPr>
            <w:tcW w:w="2437" w:type="dxa"/>
            <w:vAlign w:val="center"/>
          </w:tcPr>
          <w:p w14:paraId="3D703CE3">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工程造价</w:t>
            </w:r>
          </w:p>
        </w:tc>
        <w:tc>
          <w:tcPr>
            <w:tcW w:w="2396" w:type="dxa"/>
            <w:vAlign w:val="center"/>
          </w:tcPr>
          <w:p w14:paraId="6C39073D">
            <w:pPr>
              <w:widowControl/>
              <w:adjustRightInd w:val="0"/>
              <w:snapToGrid w:val="0"/>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1+2+3+4+5+6+7+8+9</w:t>
            </w:r>
          </w:p>
        </w:tc>
        <w:tc>
          <w:tcPr>
            <w:tcW w:w="3455" w:type="dxa"/>
            <w:vAlign w:val="center"/>
          </w:tcPr>
          <w:p w14:paraId="7EF4F85E">
            <w:pPr>
              <w:widowControl/>
              <w:adjustRightInd w:val="0"/>
              <w:snapToGrid w:val="0"/>
              <w:jc w:val="center"/>
              <w:rPr>
                <w:rFonts w:ascii="仿宋_GB2312" w:hAnsi="仿宋_GB2312" w:eastAsia="仿宋_GB2312" w:cs="仿宋_GB2312"/>
                <w:color w:val="000000"/>
                <w:szCs w:val="21"/>
              </w:rPr>
            </w:pPr>
          </w:p>
        </w:tc>
      </w:tr>
    </w:tbl>
    <w:p w14:paraId="6A215224">
      <w:pPr>
        <w:pStyle w:val="12"/>
        <w:adjustRightInd w:val="0"/>
        <w:snapToGrid w:val="0"/>
        <w:spacing w:before="0" w:beforeAutospacing="0" w:after="0" w:afterAutospacing="0" w:line="560" w:lineRule="exact"/>
        <w:rPr>
          <w:rFonts w:ascii="仿宋_GB2312" w:hAnsi="仿宋_GB2312" w:eastAsia="仿宋_GB2312" w:cs="仿宋_GB2312"/>
          <w:color w:val="404040"/>
          <w:sz w:val="32"/>
          <w:szCs w:val="32"/>
          <w:shd w:val="clear" w:color="auto" w:fill="FFFFFF"/>
        </w:rPr>
      </w:pPr>
    </w:p>
    <w:p w14:paraId="1D45E4DA">
      <w:pPr>
        <w:tabs>
          <w:tab w:val="left" w:pos="7920"/>
          <w:tab w:val="left" w:pos="8100"/>
          <w:tab w:val="left" w:pos="8280"/>
        </w:tabs>
        <w:spacing w:line="500" w:lineRule="exact"/>
        <w:ind w:firstLine="280" w:firstLineChars="100"/>
        <w:rPr>
          <w:rFonts w:ascii="仿宋_GB2312" w:eastAsia="仿宋_GB2312"/>
          <w:kern w:val="32"/>
          <w:sz w:val="28"/>
          <w:szCs w:val="28"/>
        </w:rPr>
      </w:pPr>
      <w:bookmarkStart w:id="0" w:name="_GoBack"/>
      <w:bookmarkEnd w:id="0"/>
    </w:p>
    <w:sectPr>
      <w:footerReference r:id="rId3" w:type="default"/>
      <w:footerReference r:id="rId4" w:type="even"/>
      <w:pgSz w:w="11906" w:h="16838"/>
      <w:pgMar w:top="1701" w:right="1474" w:bottom="1701" w:left="1588" w:header="851" w:footer="1418"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gency FB"/>
    <w:panose1 w:val="020F0502020204030204"/>
    <w:charset w:val="00"/>
    <w:family w:val="swiss"/>
    <w:pitch w:val="default"/>
    <w:sig w:usb0="00000000" w:usb1="00000000" w:usb2="00000001" w:usb3="00000000" w:csb0="0000019F" w:csb1="00000000"/>
  </w:font>
  <w:font w:name="Agency FB">
    <w:panose1 w:val="020B0503020202020204"/>
    <w:charset w:val="00"/>
    <w:family w:val="auto"/>
    <w:pitch w:val="default"/>
    <w:sig w:usb0="00000003" w:usb1="00000000" w:usb2="00000000" w:usb3="00000000" w:csb0="20000001" w:csb1="00000000"/>
  </w:font>
  <w:font w:name="Courier New">
    <w:altName w:val="DejaVu Sans"/>
    <w:panose1 w:val="02070309020205020404"/>
    <w:charset w:val="00"/>
    <w:family w:val="modern"/>
    <w:pitch w:val="default"/>
    <w:sig w:usb0="00000000" w:usb1="00000000" w:usb2="00000009" w:usb3="00000000" w:csb0="000001FF" w:csb1="00000000"/>
  </w:font>
  <w:font w:name="DejaVu Sans">
    <w:panose1 w:val="020B0603030804020204"/>
    <w:charset w:val="00"/>
    <w:family w:val="auto"/>
    <w:pitch w:val="default"/>
    <w:sig w:usb0="E7006EFF" w:usb1="D200FDFF" w:usb2="0A246029" w:usb3="0400200C" w:csb0="600001FF" w:csb1="DFFF0000"/>
  </w:font>
  <w:font w:name="Tahoma">
    <w:altName w:val="noto sans thai"/>
    <w:panose1 w:val="020B0604030504040204"/>
    <w:charset w:val="00"/>
    <w:family w:val="swiss"/>
    <w:pitch w:val="default"/>
    <w:sig w:usb0="00000000" w:usb1="00000000" w:usb2="00000029" w:usb3="00000000" w:csb0="000101FF" w:csb1="00000000"/>
  </w:font>
  <w:font w:name="noto sans thai">
    <w:panose1 w:val="020B0502040504020204"/>
    <w:charset w:val="00"/>
    <w:family w:val="auto"/>
    <w:pitch w:val="default"/>
    <w:sig w:usb0="81000063" w:usb1="00002000" w:usb2="00000000" w:usb3="00000000" w:csb0="00010000" w:csb1="00000000"/>
  </w:font>
  <w:font w:name="Arial">
    <w:altName w:val="Times New Roman"/>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66D71">
    <w:pPr>
      <w:pStyle w:val="8"/>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991BF">
    <w:pPr>
      <w:pStyle w:val="8"/>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EE9"/>
    <w:rsid w:val="000221F0"/>
    <w:rsid w:val="00027416"/>
    <w:rsid w:val="000669C5"/>
    <w:rsid w:val="00072763"/>
    <w:rsid w:val="0007441B"/>
    <w:rsid w:val="00077581"/>
    <w:rsid w:val="00077B89"/>
    <w:rsid w:val="00090270"/>
    <w:rsid w:val="000A1675"/>
    <w:rsid w:val="000B19B4"/>
    <w:rsid w:val="000B25D9"/>
    <w:rsid w:val="000E1BD7"/>
    <w:rsid w:val="000F3449"/>
    <w:rsid w:val="0016266E"/>
    <w:rsid w:val="00172CE4"/>
    <w:rsid w:val="00172D94"/>
    <w:rsid w:val="001B7849"/>
    <w:rsid w:val="001B7AD9"/>
    <w:rsid w:val="001C77B7"/>
    <w:rsid w:val="0025176D"/>
    <w:rsid w:val="00286978"/>
    <w:rsid w:val="002A0860"/>
    <w:rsid w:val="002C095A"/>
    <w:rsid w:val="002C1AFB"/>
    <w:rsid w:val="002D0672"/>
    <w:rsid w:val="002E082D"/>
    <w:rsid w:val="002E619B"/>
    <w:rsid w:val="002F6DF0"/>
    <w:rsid w:val="00300679"/>
    <w:rsid w:val="00304F79"/>
    <w:rsid w:val="003229F6"/>
    <w:rsid w:val="00327E54"/>
    <w:rsid w:val="00333AD9"/>
    <w:rsid w:val="0033483C"/>
    <w:rsid w:val="003403DA"/>
    <w:rsid w:val="00352EE9"/>
    <w:rsid w:val="003677AB"/>
    <w:rsid w:val="0038415A"/>
    <w:rsid w:val="003B45B2"/>
    <w:rsid w:val="003D5A98"/>
    <w:rsid w:val="004047D8"/>
    <w:rsid w:val="004179D5"/>
    <w:rsid w:val="004259FF"/>
    <w:rsid w:val="0044744C"/>
    <w:rsid w:val="00447677"/>
    <w:rsid w:val="00492736"/>
    <w:rsid w:val="0049627F"/>
    <w:rsid w:val="004A3D47"/>
    <w:rsid w:val="004B3426"/>
    <w:rsid w:val="004C7FC3"/>
    <w:rsid w:val="004D5CF3"/>
    <w:rsid w:val="004E3786"/>
    <w:rsid w:val="004F1EF3"/>
    <w:rsid w:val="0051412A"/>
    <w:rsid w:val="005300ED"/>
    <w:rsid w:val="00540E6B"/>
    <w:rsid w:val="00545CF3"/>
    <w:rsid w:val="005A27FC"/>
    <w:rsid w:val="005D04B9"/>
    <w:rsid w:val="005D2824"/>
    <w:rsid w:val="005F086B"/>
    <w:rsid w:val="005F2108"/>
    <w:rsid w:val="00605B57"/>
    <w:rsid w:val="00616B00"/>
    <w:rsid w:val="00624203"/>
    <w:rsid w:val="00626CCA"/>
    <w:rsid w:val="006309FF"/>
    <w:rsid w:val="006328EC"/>
    <w:rsid w:val="00635158"/>
    <w:rsid w:val="00654519"/>
    <w:rsid w:val="006611AB"/>
    <w:rsid w:val="006A7979"/>
    <w:rsid w:val="006B2F19"/>
    <w:rsid w:val="006B577C"/>
    <w:rsid w:val="006E00A7"/>
    <w:rsid w:val="00702173"/>
    <w:rsid w:val="00705580"/>
    <w:rsid w:val="0071529B"/>
    <w:rsid w:val="00727DF9"/>
    <w:rsid w:val="00762902"/>
    <w:rsid w:val="00791E50"/>
    <w:rsid w:val="007A6D21"/>
    <w:rsid w:val="007A7D90"/>
    <w:rsid w:val="007D0CEC"/>
    <w:rsid w:val="007F3D12"/>
    <w:rsid w:val="00803706"/>
    <w:rsid w:val="0082607D"/>
    <w:rsid w:val="008603CF"/>
    <w:rsid w:val="008A0020"/>
    <w:rsid w:val="008B5F2E"/>
    <w:rsid w:val="008F1850"/>
    <w:rsid w:val="00901BD0"/>
    <w:rsid w:val="00927A5B"/>
    <w:rsid w:val="00950805"/>
    <w:rsid w:val="0095543E"/>
    <w:rsid w:val="009566C7"/>
    <w:rsid w:val="00963E2F"/>
    <w:rsid w:val="00974237"/>
    <w:rsid w:val="00977A61"/>
    <w:rsid w:val="00982C96"/>
    <w:rsid w:val="009B7501"/>
    <w:rsid w:val="009D08FF"/>
    <w:rsid w:val="009F0241"/>
    <w:rsid w:val="00A03017"/>
    <w:rsid w:val="00A14CC3"/>
    <w:rsid w:val="00A46CFD"/>
    <w:rsid w:val="00A4765C"/>
    <w:rsid w:val="00A64073"/>
    <w:rsid w:val="00AA66C1"/>
    <w:rsid w:val="00AB0E20"/>
    <w:rsid w:val="00AD5848"/>
    <w:rsid w:val="00B05CDD"/>
    <w:rsid w:val="00B120FB"/>
    <w:rsid w:val="00B21EEF"/>
    <w:rsid w:val="00B72611"/>
    <w:rsid w:val="00B82CB2"/>
    <w:rsid w:val="00B94D52"/>
    <w:rsid w:val="00BA79E3"/>
    <w:rsid w:val="00BB6BA0"/>
    <w:rsid w:val="00BB6C4E"/>
    <w:rsid w:val="00BB745B"/>
    <w:rsid w:val="00BD12DB"/>
    <w:rsid w:val="00BD78AF"/>
    <w:rsid w:val="00C305FF"/>
    <w:rsid w:val="00C307E0"/>
    <w:rsid w:val="00C43AD6"/>
    <w:rsid w:val="00C5518F"/>
    <w:rsid w:val="00C71A3E"/>
    <w:rsid w:val="00C728E5"/>
    <w:rsid w:val="00C777C3"/>
    <w:rsid w:val="00C9285D"/>
    <w:rsid w:val="00CA4F69"/>
    <w:rsid w:val="00CE1F76"/>
    <w:rsid w:val="00D06F54"/>
    <w:rsid w:val="00D147CE"/>
    <w:rsid w:val="00D14E9C"/>
    <w:rsid w:val="00D30F4A"/>
    <w:rsid w:val="00D4169E"/>
    <w:rsid w:val="00D57679"/>
    <w:rsid w:val="00DE4DE7"/>
    <w:rsid w:val="00DE5B6F"/>
    <w:rsid w:val="00DF44B0"/>
    <w:rsid w:val="00DF595B"/>
    <w:rsid w:val="00E11AA4"/>
    <w:rsid w:val="00E159C4"/>
    <w:rsid w:val="00E205A9"/>
    <w:rsid w:val="00E54075"/>
    <w:rsid w:val="00E655A9"/>
    <w:rsid w:val="00E81BC1"/>
    <w:rsid w:val="00E82B1B"/>
    <w:rsid w:val="00E87368"/>
    <w:rsid w:val="00EA4315"/>
    <w:rsid w:val="00F078C1"/>
    <w:rsid w:val="00F1232A"/>
    <w:rsid w:val="00F128BA"/>
    <w:rsid w:val="00F24319"/>
    <w:rsid w:val="00F26454"/>
    <w:rsid w:val="00F6200F"/>
    <w:rsid w:val="00F72D2D"/>
    <w:rsid w:val="00FF2142"/>
    <w:rsid w:val="12FBA7DB"/>
    <w:rsid w:val="3D7F46F3"/>
    <w:rsid w:val="7E7B6F74"/>
    <w:rsid w:val="7F244840"/>
    <w:rsid w:val="B8B7D5E0"/>
    <w:rsid w:val="FEE7B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ody Text"/>
    <w:basedOn w:val="1"/>
    <w:qFormat/>
    <w:uiPriority w:val="0"/>
    <w:pPr>
      <w:jc w:val="center"/>
    </w:pPr>
    <w:rPr>
      <w:sz w:val="24"/>
      <w:szCs w:val="20"/>
    </w:rPr>
  </w:style>
  <w:style w:type="paragraph" w:styleId="4">
    <w:name w:val="Body Text Indent"/>
    <w:basedOn w:val="1"/>
    <w:qFormat/>
    <w:uiPriority w:val="0"/>
    <w:pPr>
      <w:spacing w:after="120"/>
      <w:ind w:left="420" w:leftChars="200"/>
    </w:pPr>
  </w:style>
  <w:style w:type="paragraph" w:styleId="5">
    <w:name w:val="Plain Text"/>
    <w:basedOn w:val="1"/>
    <w:qFormat/>
    <w:uiPriority w:val="0"/>
    <w:rPr>
      <w:rFonts w:ascii="宋体" w:hAnsi="Courier New"/>
      <w:szCs w:val="20"/>
    </w:rPr>
  </w:style>
  <w:style w:type="paragraph" w:styleId="6">
    <w:name w:val="Date"/>
    <w:basedOn w:val="1"/>
    <w:next w:val="1"/>
    <w:qFormat/>
    <w:uiPriority w:val="0"/>
  </w:style>
  <w:style w:type="paragraph" w:styleId="7">
    <w:name w:val="Balloon Text"/>
    <w:basedOn w:val="1"/>
    <w:semiHidden/>
    <w:qFormat/>
    <w:uiPriority w:val="0"/>
    <w:rPr>
      <w:sz w:val="18"/>
      <w:szCs w:val="18"/>
    </w:rPr>
  </w:style>
  <w:style w:type="paragraph" w:styleId="8">
    <w:name w:val="footer"/>
    <w:basedOn w:val="1"/>
    <w:link w:val="27"/>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Indent 3"/>
    <w:basedOn w:val="1"/>
    <w:qFormat/>
    <w:uiPriority w:val="0"/>
    <w:pPr>
      <w:spacing w:after="120"/>
      <w:ind w:left="420"/>
    </w:pPr>
    <w:rPr>
      <w:sz w:val="16"/>
      <w:szCs w:val="16"/>
    </w:rPr>
  </w:style>
  <w:style w:type="paragraph" w:styleId="11">
    <w:name w:val="Body Text 2"/>
    <w:basedOn w:val="1"/>
    <w:qFormat/>
    <w:uiPriority w:val="0"/>
    <w:pPr>
      <w:spacing w:after="120" w:line="480" w:lineRule="auto"/>
    </w:pPr>
  </w:style>
  <w:style w:type="paragraph" w:styleId="12">
    <w:name w:val="Normal (Web)"/>
    <w:basedOn w:val="1"/>
    <w:qFormat/>
    <w:uiPriority w:val="0"/>
    <w:pPr>
      <w:widowControl/>
      <w:spacing w:before="100" w:beforeAutospacing="1" w:after="100" w:afterAutospacing="1"/>
      <w:jc w:val="left"/>
    </w:pPr>
    <w:rPr>
      <w:rFonts w:ascii="宋体" w:hAnsi="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qFormat/>
    <w:uiPriority w:val="0"/>
  </w:style>
  <w:style w:type="paragraph" w:customStyle="1" w:styleId="17">
    <w:name w:val="表格内容"/>
    <w:basedOn w:val="1"/>
    <w:qFormat/>
    <w:uiPriority w:val="0"/>
    <w:pPr>
      <w:suppressLineNumbers/>
      <w:suppressAutoHyphens/>
    </w:pPr>
    <w:rPr>
      <w:szCs w:val="20"/>
    </w:rPr>
  </w:style>
  <w:style w:type="paragraph" w:customStyle="1" w:styleId="18">
    <w:name w:val="字元 字元 Char Char"/>
    <w:basedOn w:val="2"/>
    <w:qFormat/>
    <w:uiPriority w:val="0"/>
    <w:pPr>
      <w:adjustRightInd w:val="0"/>
      <w:spacing w:line="436" w:lineRule="exact"/>
      <w:ind w:left="357"/>
      <w:jc w:val="left"/>
      <w:outlineLvl w:val="3"/>
    </w:pPr>
    <w:rPr>
      <w:rFonts w:ascii="Tahoma" w:hAnsi="Tahoma"/>
      <w:b/>
      <w:sz w:val="24"/>
    </w:rPr>
  </w:style>
  <w:style w:type="paragraph" w:customStyle="1" w:styleId="19">
    <w:name w:val="标题1"/>
    <w:basedOn w:val="1"/>
    <w:next w:val="3"/>
    <w:qFormat/>
    <w:uiPriority w:val="0"/>
    <w:pPr>
      <w:keepNext/>
      <w:keepLines/>
      <w:suppressAutoHyphens/>
      <w:spacing w:before="240" w:after="60"/>
    </w:pPr>
    <w:rPr>
      <w:rFonts w:ascii="Arial" w:hAnsi="Arial" w:cs="Tahoma"/>
      <w:b/>
      <w:bCs/>
      <w:sz w:val="32"/>
      <w:szCs w:val="32"/>
    </w:rPr>
  </w:style>
  <w:style w:type="paragraph" w:customStyle="1" w:styleId="20">
    <w:name w:val="普通文字"/>
    <w:basedOn w:val="1"/>
    <w:qFormat/>
    <w:uiPriority w:val="0"/>
    <w:rPr>
      <w:rFonts w:hint="eastAsia" w:ascii="宋体" w:hAnsi="宋体" w:eastAsia="仿宋_GB2312"/>
      <w:kern w:val="1"/>
      <w:sz w:val="32"/>
      <w:szCs w:val="20"/>
    </w:rPr>
  </w:style>
  <w:style w:type="paragraph" w:customStyle="1" w:styleId="21">
    <w:name w:val="WW-普通文字"/>
    <w:basedOn w:val="1"/>
    <w:qFormat/>
    <w:uiPriority w:val="0"/>
    <w:pPr>
      <w:suppressAutoHyphens/>
    </w:pPr>
    <w:rPr>
      <w:rFonts w:hint="eastAsia" w:ascii="宋体" w:hAnsi="宋体" w:cs="Tahoma"/>
      <w:kern w:val="1"/>
      <w:szCs w:val="20"/>
    </w:rPr>
  </w:style>
  <w:style w:type="paragraph" w:customStyle="1" w:styleId="22">
    <w:name w:val="Char"/>
    <w:basedOn w:val="2"/>
    <w:qFormat/>
    <w:uiPriority w:val="0"/>
    <w:pPr>
      <w:adjustRightInd w:val="0"/>
      <w:spacing w:line="436" w:lineRule="exact"/>
      <w:ind w:left="357"/>
      <w:jc w:val="left"/>
      <w:outlineLvl w:val="3"/>
    </w:pPr>
    <w:rPr>
      <w:rFonts w:ascii="Tahoma" w:hAnsi="Tahoma"/>
      <w:b/>
      <w:sz w:val="24"/>
    </w:rPr>
  </w:style>
  <w:style w:type="paragraph" w:customStyle="1" w:styleId="23">
    <w:name w:val="Char Char Char Char"/>
    <w:basedOn w:val="1"/>
    <w:qFormat/>
    <w:uiPriority w:val="0"/>
    <w:pPr>
      <w:adjustRightInd w:val="0"/>
      <w:spacing w:line="360" w:lineRule="auto"/>
    </w:pPr>
    <w:rPr>
      <w:kern w:val="0"/>
      <w:sz w:val="24"/>
      <w:szCs w:val="20"/>
    </w:rPr>
  </w:style>
  <w:style w:type="paragraph" w:customStyle="1" w:styleId="24">
    <w:name w:val="WW-日期1"/>
    <w:basedOn w:val="1"/>
    <w:qFormat/>
    <w:uiPriority w:val="0"/>
    <w:rPr>
      <w:rFonts w:hint="eastAsia"/>
      <w:spacing w:val="20"/>
      <w:kern w:val="1"/>
      <w:sz w:val="32"/>
      <w:szCs w:val="20"/>
    </w:rPr>
  </w:style>
  <w:style w:type="paragraph" w:styleId="25">
    <w:name w:val="List Paragraph"/>
    <w:basedOn w:val="1"/>
    <w:qFormat/>
    <w:uiPriority w:val="0"/>
    <w:pPr>
      <w:ind w:firstLine="420" w:firstLineChars="200"/>
    </w:pPr>
    <w:rPr>
      <w:rFonts w:ascii="Calibri" w:hAnsi="Calibri"/>
      <w:szCs w:val="20"/>
    </w:rPr>
  </w:style>
  <w:style w:type="paragraph" w:customStyle="1" w:styleId="26">
    <w:name w:val="Char Char Char"/>
    <w:basedOn w:val="2"/>
    <w:qFormat/>
    <w:uiPriority w:val="0"/>
    <w:pPr>
      <w:adjustRightInd w:val="0"/>
      <w:spacing w:line="436" w:lineRule="exact"/>
      <w:ind w:left="357"/>
      <w:jc w:val="left"/>
      <w:outlineLvl w:val="3"/>
    </w:pPr>
    <w:rPr>
      <w:rFonts w:ascii="Calibri" w:hAnsi="Calibri"/>
      <w:szCs w:val="20"/>
    </w:rPr>
  </w:style>
  <w:style w:type="character" w:customStyle="1" w:styleId="27">
    <w:name w:val="页脚 Char"/>
    <w:link w:val="8"/>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SZAQ</Company>
  <Pages>5</Pages>
  <Words>1435</Words>
  <Characters>1436</Characters>
  <Lines>57</Lines>
  <Paragraphs>16</Paragraphs>
  <TotalTime>17</TotalTime>
  <ScaleCrop>false</ScaleCrop>
  <LinksUpToDate>false</LinksUpToDate>
  <CharactersWithSpaces>2855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2026-04-30T12:16:00Z</dcterms:created>
  <dc:creator>ABD</dc:creator>
  <cp:lastModifiedBy>楊林</cp:lastModifiedBy>
  <cp:lastPrinted>2026-04-30T14:25:00Z</cp:lastPrinted>
  <dcterms:modified xsi:type="dcterms:W3CDTF">2026-04-30T15:18:16Z</dcterms:modified>
  <dc:title>地铁应急抢险大队</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46A7F1FC01786DCC3802F36992E28ABC_42</vt:lpwstr>
  </property>
</Properties>
</file>