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174" w:type="dxa"/>
        <w:tblInd w:w="0" w:type="dxa"/>
        <w:tblLayout w:type="fixed"/>
        <w:tblCellMar>
          <w:top w:w="0" w:type="dxa"/>
          <w:left w:w="108" w:type="dxa"/>
          <w:bottom w:w="0" w:type="dxa"/>
          <w:right w:w="108" w:type="dxa"/>
        </w:tblCellMar>
      </w:tblPr>
      <w:tblGrid>
        <w:gridCol w:w="719"/>
        <w:gridCol w:w="2122"/>
        <w:gridCol w:w="1324"/>
        <w:gridCol w:w="1723"/>
        <w:gridCol w:w="4739"/>
        <w:gridCol w:w="3303"/>
        <w:gridCol w:w="244"/>
      </w:tblGrid>
      <w:tr>
        <w:tblPrEx>
          <w:tblLayout w:type="fixed"/>
          <w:tblCellMar>
            <w:top w:w="0" w:type="dxa"/>
            <w:left w:w="108" w:type="dxa"/>
            <w:bottom w:w="0" w:type="dxa"/>
            <w:right w:w="108" w:type="dxa"/>
          </w:tblCellMar>
        </w:tblPrEx>
        <w:trPr>
          <w:trHeight w:val="1440" w:hRule="atLeast"/>
        </w:trPr>
        <w:tc>
          <w:tcPr>
            <w:tcW w:w="14174" w:type="dxa"/>
            <w:gridSpan w:val="7"/>
            <w:tcBorders>
              <w:top w:val="nil"/>
              <w:bottom w:val="nil"/>
            </w:tcBorders>
            <w:shd w:val="clear" w:color="auto" w:fill="auto"/>
            <w:vAlign w:val="center"/>
          </w:tcPr>
          <w:p>
            <w:pPr>
              <w:tabs>
                <w:tab w:val="left" w:pos="7770"/>
              </w:tabs>
              <w:snapToGrid w:val="0"/>
              <w:spacing w:line="640" w:lineRule="exact"/>
              <w:rPr>
                <w:rFonts w:ascii="黑体" w:hAnsi="黑体" w:eastAsia="黑体" w:cs="仿宋_GB2312"/>
                <w:sz w:val="28"/>
                <w:szCs w:val="28"/>
              </w:rPr>
            </w:pPr>
            <w:bookmarkStart w:id="0" w:name="_GoBack"/>
            <w:r>
              <w:rPr>
                <w:rFonts w:hint="eastAsia" w:ascii="黑体" w:hAnsi="黑体" w:eastAsia="黑体" w:cs="仿宋_GB2312"/>
                <w:sz w:val="28"/>
                <w:szCs w:val="28"/>
              </w:rPr>
              <w:t>附件</w:t>
            </w:r>
          </w:p>
          <w:p>
            <w:pPr>
              <w:widowControl/>
              <w:jc w:val="center"/>
              <w:rPr>
                <w:rFonts w:ascii="方正小标宋简体" w:hAnsi="等线" w:eastAsia="方正小标宋简体" w:cs="宋体"/>
                <w:kern w:val="0"/>
                <w:sz w:val="36"/>
                <w:szCs w:val="36"/>
              </w:rPr>
            </w:pPr>
            <w:r>
              <w:rPr>
                <w:rFonts w:hint="eastAsia" w:ascii="方正小标宋简体" w:hAnsi="等线" w:eastAsia="方正小标宋简体" w:cs="宋体"/>
                <w:kern w:val="0"/>
                <w:sz w:val="36"/>
                <w:szCs w:val="36"/>
              </w:rPr>
              <w:t>北京市文化和旅游局下放市级行政审批事项目录</w:t>
            </w:r>
            <w:bookmarkEnd w:id="0"/>
          </w:p>
        </w:tc>
      </w:tr>
      <w:tr>
        <w:tblPrEx>
          <w:tblLayout w:type="fixed"/>
          <w:tblCellMar>
            <w:top w:w="0" w:type="dxa"/>
            <w:left w:w="108" w:type="dxa"/>
            <w:bottom w:w="0" w:type="dxa"/>
            <w:right w:w="108" w:type="dxa"/>
          </w:tblCellMar>
        </w:tblPrEx>
        <w:trPr>
          <w:gridAfter w:val="1"/>
          <w:wAfter w:w="244" w:type="dxa"/>
          <w:trHeight w:val="231" w:hRule="atLeast"/>
        </w:trPr>
        <w:tc>
          <w:tcPr>
            <w:tcW w:w="719"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122"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事项名称</w:t>
            </w:r>
          </w:p>
        </w:tc>
        <w:tc>
          <w:tcPr>
            <w:tcW w:w="1324"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基本编码</w:t>
            </w:r>
          </w:p>
        </w:tc>
        <w:tc>
          <w:tcPr>
            <w:tcW w:w="1723"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事项类型</w:t>
            </w:r>
          </w:p>
        </w:tc>
        <w:tc>
          <w:tcPr>
            <w:tcW w:w="4739"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实施依据</w:t>
            </w:r>
          </w:p>
        </w:tc>
        <w:tc>
          <w:tcPr>
            <w:tcW w:w="3303" w:type="dxa"/>
            <w:tcBorders>
              <w:top w:val="single" w:color="auto" w:sz="8" w:space="0"/>
              <w:bottom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实施主体</w:t>
            </w:r>
          </w:p>
        </w:tc>
      </w:tr>
      <w:tr>
        <w:tblPrEx>
          <w:tblLayout w:type="fixed"/>
          <w:tblCellMar>
            <w:top w:w="0" w:type="dxa"/>
            <w:left w:w="108" w:type="dxa"/>
            <w:bottom w:w="0" w:type="dxa"/>
            <w:right w:w="108" w:type="dxa"/>
          </w:tblCellMar>
        </w:tblPrEx>
        <w:trPr>
          <w:gridAfter w:val="1"/>
          <w:wAfter w:w="244" w:type="dxa"/>
          <w:trHeight w:val="448" w:hRule="atLeast"/>
        </w:trPr>
        <w:tc>
          <w:tcPr>
            <w:tcW w:w="719"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1</w:t>
            </w:r>
          </w:p>
        </w:tc>
        <w:tc>
          <w:tcPr>
            <w:tcW w:w="2122"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外商、港澳台商从事娱乐场所经营活动审批</w:t>
            </w:r>
          </w:p>
        </w:tc>
        <w:tc>
          <w:tcPr>
            <w:tcW w:w="1324"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000122106002</w:t>
            </w:r>
          </w:p>
        </w:tc>
        <w:tc>
          <w:tcPr>
            <w:tcW w:w="1723"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w:t>
            </w:r>
            <w:r>
              <w:rPr>
                <w:rFonts w:hint="eastAsia" w:ascii="仿宋" w:hAnsi="仿宋" w:eastAsia="仿宋" w:cs="宋体"/>
                <w:kern w:val="0"/>
                <w:sz w:val="13"/>
                <w:szCs w:val="13"/>
              </w:rPr>
              <w:t>《娱乐场所管理条例》（</w:t>
            </w:r>
            <w:r>
              <w:rPr>
                <w:rFonts w:ascii="仿宋" w:hAnsi="仿宋" w:eastAsia="仿宋" w:cs="宋体"/>
                <w:kern w:val="0"/>
                <w:sz w:val="13"/>
                <w:szCs w:val="13"/>
              </w:rPr>
              <w:t>国务院令第458号</w:t>
            </w:r>
            <w:r>
              <w:rPr>
                <w:rFonts w:hint="eastAsia" w:ascii="仿宋" w:hAnsi="仿宋" w:eastAsia="仿宋" w:cs="宋体"/>
                <w:kern w:val="0"/>
                <w:sz w:val="13"/>
                <w:szCs w:val="13"/>
              </w:rPr>
              <w:t>）</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.《娱乐场所管理办法》</w:t>
            </w:r>
            <w:r>
              <w:rPr>
                <w:rFonts w:hint="eastAsia" w:ascii="仿宋" w:hAnsi="仿宋" w:eastAsia="仿宋" w:cs="宋体"/>
                <w:kern w:val="0"/>
                <w:sz w:val="13"/>
                <w:szCs w:val="13"/>
              </w:rPr>
              <w:t>（</w:t>
            </w:r>
            <w:r>
              <w:rPr>
                <w:rFonts w:ascii="仿宋" w:hAnsi="仿宋" w:eastAsia="仿宋" w:cs="宋体"/>
                <w:kern w:val="0"/>
                <w:sz w:val="13"/>
                <w:szCs w:val="13"/>
              </w:rPr>
              <w:t>文化和旅游部令第10号</w:t>
            </w:r>
            <w:r>
              <w:rPr>
                <w:rFonts w:hint="eastAsia" w:ascii="仿宋" w:hAnsi="仿宋" w:eastAsia="仿宋" w:cs="宋体"/>
                <w:kern w:val="0"/>
                <w:sz w:val="13"/>
                <w:szCs w:val="13"/>
              </w:rPr>
              <w:t>）</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《北京市人民政府关于由部分重点功能区管理机构和区政府有关部门行使一批市级行政权力等事项的决定》（京政发〔2021〕27号）</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4</w:t>
            </w:r>
            <w:r>
              <w:rPr>
                <w:rFonts w:hint="eastAsia" w:ascii="仿宋" w:hAnsi="仿宋" w:eastAsia="仿宋" w:cs="宋体"/>
                <w:kern w:val="0"/>
                <w:sz w:val="13"/>
                <w:szCs w:val="13"/>
              </w:rPr>
              <w:t>.《北京市人民政府关于由部分重点功能区管理机构和区政府有关部门行使一批市级行政权力等事项的决定》（京政发〔2023〕4号）</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5.</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4"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16区文化和旅游局，北京城市副中心管理委员会和北京经济技术开发区行政审批局</w:t>
            </w:r>
          </w:p>
        </w:tc>
      </w:tr>
      <w:tr>
        <w:tblPrEx>
          <w:tblLayout w:type="fixed"/>
          <w:tblCellMar>
            <w:top w:w="0" w:type="dxa"/>
            <w:left w:w="108" w:type="dxa"/>
            <w:bottom w:w="0" w:type="dxa"/>
            <w:right w:w="108" w:type="dxa"/>
          </w:tblCellMar>
        </w:tblPrEx>
        <w:trPr>
          <w:gridAfter w:val="1"/>
          <w:wAfter w:w="244" w:type="dxa"/>
          <w:trHeight w:val="62" w:hRule="atLeast"/>
        </w:trPr>
        <w:tc>
          <w:tcPr>
            <w:tcW w:w="719"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2</w:t>
            </w:r>
          </w:p>
        </w:tc>
        <w:tc>
          <w:tcPr>
            <w:tcW w:w="2122"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外商投资设立演出场所经营单位审批</w:t>
            </w:r>
          </w:p>
        </w:tc>
        <w:tc>
          <w:tcPr>
            <w:tcW w:w="1324"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000122102001</w:t>
            </w:r>
          </w:p>
        </w:tc>
        <w:tc>
          <w:tcPr>
            <w:tcW w:w="1723"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《营业性演出管理条例实施细则》</w:t>
            </w:r>
            <w:r>
              <w:rPr>
                <w:rFonts w:hint="eastAsia" w:ascii="仿宋" w:hAnsi="仿宋" w:eastAsia="仿宋" w:cs="宋体"/>
                <w:kern w:val="0"/>
                <w:sz w:val="13"/>
                <w:szCs w:val="13"/>
              </w:rPr>
              <w:t>（文化和旅游部令第9号）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w:t>
            </w:r>
            <w:r>
              <w:rPr>
                <w:rFonts w:hint="eastAsia" w:ascii="仿宋" w:hAnsi="仿宋" w:eastAsia="仿宋" w:cs="宋体"/>
                <w:kern w:val="0"/>
                <w:sz w:val="13"/>
                <w:szCs w:val="13"/>
              </w:rPr>
              <w:t>《北京市人民政府关于由部分重点功能区管理机构和区政府有关部门行使一批市级行政权力等事项的决定》（京政发〔2021〕27号）</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.《北京市人民政府关于由部分重点功能区管理机构和区政府有关部门行使一批市级行政权力等事项的决定》（京政发〔2023〕4号）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4</w:t>
            </w:r>
            <w:r>
              <w:rPr>
                <w:rFonts w:ascii="仿宋" w:hAnsi="仿宋" w:eastAsia="仿宋" w:cs="宋体"/>
                <w:kern w:val="0"/>
                <w:sz w:val="13"/>
                <w:szCs w:val="13"/>
              </w:rPr>
              <w:t>.</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4"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16区文化和旅游局，北京城市副中心管理委员会和北京经济技术开发区行政审批局</w:t>
            </w:r>
          </w:p>
        </w:tc>
      </w:tr>
      <w:tr>
        <w:tblPrEx>
          <w:tblLayout w:type="fixed"/>
          <w:tblCellMar>
            <w:top w:w="0" w:type="dxa"/>
            <w:left w:w="108" w:type="dxa"/>
            <w:bottom w:w="0" w:type="dxa"/>
            <w:right w:w="108" w:type="dxa"/>
          </w:tblCellMar>
        </w:tblPrEx>
        <w:trPr>
          <w:gridAfter w:val="1"/>
          <w:wAfter w:w="244" w:type="dxa"/>
          <w:trHeight w:val="799" w:hRule="atLeast"/>
        </w:trPr>
        <w:tc>
          <w:tcPr>
            <w:tcW w:w="719"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3</w:t>
            </w:r>
          </w:p>
        </w:tc>
        <w:tc>
          <w:tcPr>
            <w:tcW w:w="2122"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港澳投资设立演出场所经营单位审批</w:t>
            </w:r>
          </w:p>
        </w:tc>
        <w:tc>
          <w:tcPr>
            <w:tcW w:w="1324"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000122102002</w:t>
            </w:r>
          </w:p>
        </w:tc>
        <w:tc>
          <w:tcPr>
            <w:tcW w:w="1723"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《营业性演出管理条例实施细则》</w:t>
            </w:r>
            <w:r>
              <w:rPr>
                <w:rFonts w:hint="eastAsia" w:ascii="仿宋" w:hAnsi="仿宋" w:eastAsia="仿宋" w:cs="宋体"/>
                <w:kern w:val="0"/>
                <w:sz w:val="13"/>
                <w:szCs w:val="13"/>
              </w:rPr>
              <w:t>（文化和旅游部令第9号）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w:t>
            </w:r>
            <w:r>
              <w:rPr>
                <w:rFonts w:hint="eastAsia" w:ascii="仿宋" w:hAnsi="仿宋" w:eastAsia="仿宋" w:cs="宋体"/>
                <w:kern w:val="0"/>
                <w:sz w:val="13"/>
                <w:szCs w:val="13"/>
              </w:rPr>
              <w:t>《文化和旅游部市场管理司关于反馈有关意见的复函》</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4"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16区文化和旅游局，北京经济技术开发区行政审批局</w:t>
            </w:r>
          </w:p>
        </w:tc>
      </w:tr>
      <w:tr>
        <w:tblPrEx>
          <w:tblLayout w:type="fixed"/>
          <w:tblCellMar>
            <w:top w:w="0" w:type="dxa"/>
            <w:left w:w="108" w:type="dxa"/>
            <w:bottom w:w="0" w:type="dxa"/>
            <w:right w:w="108" w:type="dxa"/>
          </w:tblCellMar>
        </w:tblPrEx>
        <w:trPr>
          <w:gridAfter w:val="1"/>
          <w:wAfter w:w="244" w:type="dxa"/>
          <w:trHeight w:val="799" w:hRule="atLeast"/>
        </w:trPr>
        <w:tc>
          <w:tcPr>
            <w:tcW w:w="719"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4</w:t>
            </w:r>
          </w:p>
        </w:tc>
        <w:tc>
          <w:tcPr>
            <w:tcW w:w="2122"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台湾投资设立演出场所经营单位审批</w:t>
            </w:r>
          </w:p>
        </w:tc>
        <w:tc>
          <w:tcPr>
            <w:tcW w:w="1324"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000122102003</w:t>
            </w:r>
          </w:p>
        </w:tc>
        <w:tc>
          <w:tcPr>
            <w:tcW w:w="1723"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《营业性演出管理条例实施细则》</w:t>
            </w:r>
            <w:r>
              <w:rPr>
                <w:rFonts w:hint="eastAsia" w:ascii="仿宋" w:hAnsi="仿宋" w:eastAsia="仿宋" w:cs="宋体"/>
                <w:kern w:val="0"/>
                <w:sz w:val="13"/>
                <w:szCs w:val="13"/>
              </w:rPr>
              <w:t>（文化和旅游部令第9号）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w:t>
            </w:r>
            <w:r>
              <w:rPr>
                <w:rFonts w:hint="eastAsia" w:ascii="仿宋" w:hAnsi="仿宋" w:eastAsia="仿宋" w:cs="宋体"/>
                <w:kern w:val="0"/>
                <w:sz w:val="13"/>
                <w:szCs w:val="13"/>
              </w:rPr>
              <w:t>《文化和旅游部市场管理司关于反馈有关意见的复函》</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4"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16区文化和旅游局，北京经济技术开发区行政审批局</w:t>
            </w:r>
          </w:p>
        </w:tc>
      </w:tr>
      <w:tr>
        <w:tblPrEx>
          <w:tblLayout w:type="fixed"/>
          <w:tblCellMar>
            <w:top w:w="0" w:type="dxa"/>
            <w:left w:w="108" w:type="dxa"/>
            <w:bottom w:w="0" w:type="dxa"/>
            <w:right w:w="108" w:type="dxa"/>
          </w:tblCellMar>
        </w:tblPrEx>
        <w:trPr>
          <w:gridAfter w:val="1"/>
          <w:wAfter w:w="244" w:type="dxa"/>
          <w:trHeight w:val="799" w:hRule="atLeast"/>
        </w:trPr>
        <w:tc>
          <w:tcPr>
            <w:tcW w:w="719"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5</w:t>
            </w:r>
          </w:p>
        </w:tc>
        <w:tc>
          <w:tcPr>
            <w:tcW w:w="2122"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外商、港澳台商互联网上网服务营业场所筹建审批</w:t>
            </w:r>
          </w:p>
        </w:tc>
        <w:tc>
          <w:tcPr>
            <w:tcW w:w="1324"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000122107002</w:t>
            </w:r>
          </w:p>
        </w:tc>
        <w:tc>
          <w:tcPr>
            <w:tcW w:w="1723" w:type="dxa"/>
            <w:tcBorders>
              <w:top w:val="nil"/>
              <w:bottom w:val="single" w:color="auto" w:sz="4"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w:t>
            </w:r>
            <w:r>
              <w:rPr>
                <w:rFonts w:hint="eastAsia" w:ascii="仿宋" w:hAnsi="仿宋" w:eastAsia="仿宋" w:cs="宋体"/>
                <w:kern w:val="0"/>
                <w:sz w:val="13"/>
                <w:szCs w:val="13"/>
              </w:rPr>
              <w:t>《互联网上网服务营业场所管理条例》（</w:t>
            </w:r>
            <w:r>
              <w:rPr>
                <w:rFonts w:ascii="仿宋" w:hAnsi="仿宋" w:eastAsia="仿宋" w:cs="宋体"/>
                <w:kern w:val="0"/>
                <w:sz w:val="13"/>
                <w:szCs w:val="13"/>
              </w:rPr>
              <w:t>国务院令（第363号）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w:t>
            </w:r>
            <w:r>
              <w:rPr>
                <w:rFonts w:hint="eastAsia" w:ascii="仿宋" w:hAnsi="仿宋" w:eastAsia="仿宋" w:cs="宋体"/>
                <w:kern w:val="0"/>
                <w:sz w:val="13"/>
                <w:szCs w:val="13"/>
              </w:rPr>
              <w:t>《文化和旅游部市场管理司关于反馈有关意见的复函》</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4"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16区文化和旅游局，北京经济技术开发区行政审批局</w:t>
            </w:r>
          </w:p>
        </w:tc>
      </w:tr>
      <w:tr>
        <w:tblPrEx>
          <w:tblLayout w:type="fixed"/>
          <w:tblCellMar>
            <w:top w:w="0" w:type="dxa"/>
            <w:left w:w="108" w:type="dxa"/>
            <w:bottom w:w="0" w:type="dxa"/>
            <w:right w:w="108" w:type="dxa"/>
          </w:tblCellMar>
        </w:tblPrEx>
        <w:trPr>
          <w:gridAfter w:val="1"/>
          <w:wAfter w:w="244" w:type="dxa"/>
          <w:trHeight w:val="194" w:hRule="atLeast"/>
        </w:trPr>
        <w:tc>
          <w:tcPr>
            <w:tcW w:w="719" w:type="dxa"/>
            <w:tcBorders>
              <w:top w:val="nil"/>
              <w:bottom w:val="single" w:color="auto" w:sz="8"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6</w:t>
            </w:r>
          </w:p>
        </w:tc>
        <w:tc>
          <w:tcPr>
            <w:tcW w:w="2122" w:type="dxa"/>
            <w:tcBorders>
              <w:top w:val="nil"/>
              <w:bottom w:val="single" w:color="auto" w:sz="8"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外商、港澳台商从事互联网上网服务经营活动审批</w:t>
            </w:r>
          </w:p>
        </w:tc>
        <w:tc>
          <w:tcPr>
            <w:tcW w:w="1324" w:type="dxa"/>
            <w:tcBorders>
              <w:top w:val="nil"/>
              <w:bottom w:val="single" w:color="auto" w:sz="8"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000122108002</w:t>
            </w:r>
          </w:p>
        </w:tc>
        <w:tc>
          <w:tcPr>
            <w:tcW w:w="1723" w:type="dxa"/>
            <w:tcBorders>
              <w:top w:val="nil"/>
              <w:bottom w:val="single" w:color="auto" w:sz="8" w:space="0"/>
            </w:tcBorders>
            <w:shd w:val="clear" w:color="auto" w:fill="auto"/>
            <w:vAlign w:val="center"/>
          </w:tcPr>
          <w:p>
            <w:pPr>
              <w:widowControl/>
              <w:jc w:val="center"/>
              <w:rPr>
                <w:rFonts w:ascii="仿宋" w:hAnsi="仿宋" w:eastAsia="仿宋" w:cs="宋体"/>
                <w:kern w:val="0"/>
                <w:sz w:val="13"/>
                <w:szCs w:val="13"/>
              </w:rPr>
            </w:pPr>
            <w:r>
              <w:rPr>
                <w:rFonts w:hint="eastAsia" w:ascii="仿宋" w:hAnsi="仿宋" w:eastAsia="仿宋" w:cs="宋体"/>
                <w:kern w:val="0"/>
                <w:sz w:val="13"/>
                <w:szCs w:val="13"/>
              </w:rPr>
              <w:t>行政许可</w:t>
            </w:r>
          </w:p>
        </w:tc>
        <w:tc>
          <w:tcPr>
            <w:tcW w:w="4739" w:type="dxa"/>
            <w:tcBorders>
              <w:top w:val="nil"/>
              <w:bottom w:val="single" w:color="auto" w:sz="8"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1</w:t>
            </w:r>
            <w:r>
              <w:rPr>
                <w:rFonts w:ascii="仿宋" w:hAnsi="仿宋" w:eastAsia="仿宋" w:cs="宋体"/>
                <w:kern w:val="0"/>
                <w:sz w:val="13"/>
                <w:szCs w:val="13"/>
              </w:rPr>
              <w:t>.</w:t>
            </w:r>
            <w:r>
              <w:rPr>
                <w:rFonts w:hint="eastAsia" w:ascii="仿宋" w:hAnsi="仿宋" w:eastAsia="仿宋" w:cs="宋体"/>
                <w:kern w:val="0"/>
                <w:sz w:val="13"/>
                <w:szCs w:val="13"/>
              </w:rPr>
              <w:t>《互联网上网服务营业场所管理条例》（</w:t>
            </w:r>
            <w:r>
              <w:rPr>
                <w:rFonts w:ascii="仿宋" w:hAnsi="仿宋" w:eastAsia="仿宋" w:cs="宋体"/>
                <w:kern w:val="0"/>
                <w:sz w:val="13"/>
                <w:szCs w:val="13"/>
              </w:rPr>
              <w:t>国务院令（第363号）</w:t>
            </w:r>
          </w:p>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2</w:t>
            </w:r>
            <w:r>
              <w:rPr>
                <w:rFonts w:ascii="仿宋" w:hAnsi="仿宋" w:eastAsia="仿宋" w:cs="宋体"/>
                <w:kern w:val="0"/>
                <w:sz w:val="13"/>
                <w:szCs w:val="13"/>
              </w:rPr>
              <w:t>.</w:t>
            </w:r>
            <w:r>
              <w:rPr>
                <w:rFonts w:hint="eastAsia" w:ascii="仿宋" w:hAnsi="仿宋" w:eastAsia="仿宋" w:cs="宋体"/>
                <w:kern w:val="0"/>
                <w:sz w:val="13"/>
                <w:szCs w:val="13"/>
              </w:rPr>
              <w:t>《文化和旅游部市场管理司关于反馈有关意见的复函》</w:t>
            </w:r>
          </w:p>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3.</w:t>
            </w:r>
            <w:r>
              <w:rPr>
                <w:rFonts w:hint="eastAsia" w:ascii="仿宋" w:hAnsi="仿宋" w:eastAsia="仿宋" w:cs="宋体"/>
                <w:kern w:val="0"/>
                <w:sz w:val="13"/>
                <w:szCs w:val="13"/>
              </w:rPr>
              <w:t>《国务院关于&lt;支持北京深化国家服务业扩大开放综合示范区建设工作方案&gt;的批复》(国函〔2023〕130号)</w:t>
            </w:r>
          </w:p>
        </w:tc>
        <w:tc>
          <w:tcPr>
            <w:tcW w:w="3303" w:type="dxa"/>
            <w:tcBorders>
              <w:top w:val="nil"/>
              <w:bottom w:val="single" w:color="auto" w:sz="8" w:space="0"/>
            </w:tcBorders>
            <w:shd w:val="clear" w:color="auto" w:fill="auto"/>
            <w:vAlign w:val="center"/>
          </w:tcPr>
          <w:p>
            <w:pPr>
              <w:widowControl/>
              <w:jc w:val="left"/>
              <w:rPr>
                <w:rFonts w:ascii="仿宋" w:hAnsi="仿宋" w:eastAsia="仿宋" w:cs="宋体"/>
                <w:kern w:val="0"/>
                <w:sz w:val="13"/>
                <w:szCs w:val="13"/>
              </w:rPr>
            </w:pPr>
            <w:r>
              <w:rPr>
                <w:rFonts w:hint="eastAsia" w:ascii="仿宋" w:hAnsi="仿宋" w:eastAsia="仿宋" w:cs="宋体"/>
                <w:kern w:val="0"/>
                <w:sz w:val="13"/>
                <w:szCs w:val="13"/>
              </w:rPr>
              <w:t>16区文化和旅游局，北京经济技术开发区行政审批局</w:t>
            </w:r>
          </w:p>
        </w:tc>
      </w:tr>
    </w:tbl>
    <w:p>
      <w:pPr>
        <w:rPr>
          <w:rFonts w:hint="eastAsia"/>
        </w:rPr>
      </w:pPr>
    </w:p>
    <w:sectPr>
      <w:headerReference r:id="rId3" w:type="default"/>
      <w:footerReference r:id="rId4" w:type="default"/>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fromWordArt="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NJWO7QAAAABQEAAA8AAAAAAAAAAQAgAAAAIgAAAGRycy9kb3ducmV2LnhtbFBLAQIU&#10;ABQAAAAIAIdO4kBH1tJU+wEAAOADAAAOAAAAAAAAAAEAIAAAAB8BAABkcnMvZTJvRG9jLnhtbFBL&#10;BQYAAAAABgAGAFkBAACM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8D00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iPriority w:val="1"/>
  </w:style>
  <w:style w:type="table" w:default="1" w:styleId="9">
    <w:name w:val="Normal Table"/>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日期 字符"/>
    <w:basedOn w:val="7"/>
    <w:link w:val="2"/>
    <w:qFormat/>
    <w:uiPriority w:val="99"/>
  </w:style>
  <w:style w:type="character" w:customStyle="1" w:styleId="13">
    <w:name w:val="批注框文本 字符"/>
    <w:basedOn w:val="7"/>
    <w:link w:val="3"/>
    <w:qFormat/>
    <w:uiPriority w:val="99"/>
    <w:rPr>
      <w:sz w:val="18"/>
      <w:szCs w:val="18"/>
    </w:rPr>
  </w:style>
  <w:style w:type="paragraph" w:customStyle="1" w:styleId="14">
    <w:name w:val="Char Char Char Char Char Char Char"/>
    <w:basedOn w:val="1"/>
    <w:qFormat/>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2025-09-12T02:11:20Z</dcterms:created>
  <dc:creator>lenovo</dc:creator>
  <cp:lastModifiedBy>lenovo</cp:lastModifiedBy>
  <dcterms:modified xsi:type="dcterms:W3CDTF">2025-09-12T02:16:18Z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