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textAlignment w:val="baseline"/>
        <w:rPr>
          <w:rFonts w:ascii="方正小标宋简体" w:hAnsi="CESI小标宋-GB2312" w:eastAsia="方正小标宋简体" w:cs="CESI小标宋-GB2312"/>
          <w:bCs/>
          <w:sz w:val="44"/>
          <w:szCs w:val="44"/>
        </w:rPr>
      </w:pPr>
      <w:r>
        <w:rPr>
          <w:rFonts w:hint="eastAsia" w:ascii="方正小标宋简体" w:hAnsi="CESI小标宋-GB2312" w:eastAsia="方正小标宋简体" w:cs="CESI小标宋-GB2312"/>
          <w:bCs/>
          <w:sz w:val="44"/>
          <w:szCs w:val="44"/>
        </w:rPr>
        <w:t>海淀区202</w:t>
      </w:r>
      <w:r>
        <w:rPr>
          <w:rFonts w:ascii="方正小标宋简体" w:hAnsi="CESI小标宋-GB2312" w:eastAsia="方正小标宋简体" w:cs="CESI小标宋-GB2312"/>
          <w:bCs/>
          <w:sz w:val="44"/>
          <w:szCs w:val="44"/>
        </w:rPr>
        <w:t>4</w:t>
      </w:r>
      <w:r>
        <w:rPr>
          <w:rFonts w:hint="eastAsia" w:ascii="方正小标宋简体" w:hAnsi="CESI小标宋-GB2312" w:eastAsia="方正小标宋简体" w:cs="CESI小标宋-GB2312"/>
          <w:bCs/>
          <w:sz w:val="44"/>
          <w:szCs w:val="44"/>
        </w:rPr>
        <w:t>年政务公开重点任务清单</w:t>
      </w:r>
      <w:bookmarkStart w:id="0" w:name="_GoBack"/>
      <w:bookmarkEnd w:id="0"/>
    </w:p>
    <w:p>
      <w:pPr>
        <w:snapToGrid w:val="0"/>
        <w:spacing w:line="560" w:lineRule="exact"/>
        <w:jc w:val="left"/>
        <w:textAlignment w:val="baseline"/>
        <w:rPr>
          <w:rFonts w:ascii="仿宋_GB2312" w:eastAsia="仿宋_GB2312"/>
          <w:bCs/>
          <w:sz w:val="32"/>
          <w:szCs w:val="32"/>
        </w:rPr>
      </w:pPr>
    </w:p>
    <w:tbl>
      <w:tblPr>
        <w:tblStyle w:val="4"/>
        <w:tblW w:w="567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89"/>
        <w:gridCol w:w="6424"/>
        <w:gridCol w:w="2204"/>
        <w:gridCol w:w="2352"/>
        <w:gridCol w:w="2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438" w:type="pct"/>
            <w:noWrap w:val="0"/>
            <w:vAlign w:val="center"/>
          </w:tcPr>
          <w:p>
            <w:pPr>
              <w:widowControl/>
              <w:jc w:val="center"/>
              <w:rPr>
                <w:rFonts w:ascii="宋体" w:hAnsi="宋体" w:cs="宋体"/>
                <w:b/>
                <w:bCs/>
                <w:kern w:val="0"/>
                <w:sz w:val="22"/>
              </w:rPr>
            </w:pPr>
            <w:r>
              <w:rPr>
                <w:rFonts w:hint="eastAsia" w:ascii="宋体" w:hAnsi="宋体" w:cs="宋体"/>
                <w:b/>
                <w:bCs/>
                <w:kern w:val="0"/>
                <w:sz w:val="22"/>
              </w:rPr>
              <w:t>领域</w:t>
            </w:r>
          </w:p>
        </w:tc>
        <w:tc>
          <w:tcPr>
            <w:tcW w:w="463" w:type="pct"/>
            <w:noWrap w:val="0"/>
            <w:vAlign w:val="center"/>
          </w:tcPr>
          <w:p>
            <w:pPr>
              <w:widowControl/>
              <w:jc w:val="center"/>
              <w:rPr>
                <w:rFonts w:ascii="宋体" w:hAnsi="宋体" w:cs="宋体"/>
                <w:b/>
                <w:bCs/>
                <w:kern w:val="0"/>
                <w:sz w:val="22"/>
              </w:rPr>
            </w:pPr>
            <w:r>
              <w:rPr>
                <w:rFonts w:hint="eastAsia" w:ascii="宋体" w:hAnsi="宋体" w:cs="宋体"/>
                <w:b/>
                <w:bCs/>
                <w:kern w:val="0"/>
                <w:sz w:val="22"/>
              </w:rPr>
              <w:t>细分领域</w:t>
            </w:r>
          </w:p>
        </w:tc>
        <w:tc>
          <w:tcPr>
            <w:tcW w:w="1997" w:type="pct"/>
            <w:noWrap w:val="0"/>
            <w:vAlign w:val="center"/>
          </w:tcPr>
          <w:p>
            <w:pPr>
              <w:widowControl/>
              <w:jc w:val="center"/>
              <w:rPr>
                <w:rFonts w:ascii="宋体" w:hAnsi="宋体" w:cs="宋体"/>
                <w:b/>
                <w:bCs/>
                <w:kern w:val="0"/>
                <w:sz w:val="22"/>
              </w:rPr>
            </w:pPr>
            <w:r>
              <w:rPr>
                <w:rFonts w:hint="eastAsia" w:ascii="宋体" w:hAnsi="宋体" w:cs="宋体"/>
                <w:b/>
                <w:bCs/>
                <w:kern w:val="0"/>
                <w:sz w:val="22"/>
              </w:rPr>
              <w:t>具体任务</w:t>
            </w:r>
          </w:p>
        </w:tc>
        <w:tc>
          <w:tcPr>
            <w:tcW w:w="685" w:type="pct"/>
            <w:noWrap w:val="0"/>
            <w:vAlign w:val="center"/>
          </w:tcPr>
          <w:p>
            <w:pPr>
              <w:widowControl/>
              <w:jc w:val="center"/>
              <w:rPr>
                <w:rFonts w:ascii="宋体" w:hAnsi="宋体" w:cs="宋体"/>
                <w:b/>
                <w:bCs/>
                <w:kern w:val="0"/>
                <w:sz w:val="22"/>
              </w:rPr>
            </w:pPr>
            <w:r>
              <w:rPr>
                <w:rFonts w:hint="eastAsia" w:ascii="宋体" w:hAnsi="宋体" w:cs="宋体"/>
                <w:b/>
                <w:bCs/>
                <w:kern w:val="0"/>
                <w:sz w:val="22"/>
              </w:rPr>
              <w:t>完成时限</w:t>
            </w:r>
          </w:p>
        </w:tc>
        <w:tc>
          <w:tcPr>
            <w:tcW w:w="731" w:type="pct"/>
            <w:noWrap w:val="0"/>
            <w:vAlign w:val="center"/>
          </w:tcPr>
          <w:p>
            <w:pPr>
              <w:widowControl/>
              <w:jc w:val="center"/>
              <w:rPr>
                <w:rFonts w:ascii="宋体" w:hAnsi="宋体" w:cs="宋体"/>
                <w:b/>
                <w:bCs/>
                <w:kern w:val="0"/>
                <w:sz w:val="22"/>
              </w:rPr>
            </w:pPr>
            <w:r>
              <w:rPr>
                <w:rFonts w:hint="eastAsia" w:ascii="宋体" w:hAnsi="宋体" w:cs="宋体"/>
                <w:b/>
                <w:bCs/>
                <w:kern w:val="0"/>
                <w:sz w:val="22"/>
              </w:rPr>
              <w:t>主责单位</w:t>
            </w:r>
          </w:p>
        </w:tc>
        <w:tc>
          <w:tcPr>
            <w:tcW w:w="685" w:type="pct"/>
            <w:noWrap w:val="0"/>
            <w:vAlign w:val="center"/>
          </w:tcPr>
          <w:p>
            <w:pPr>
              <w:widowControl/>
              <w:jc w:val="center"/>
              <w:rPr>
                <w:rFonts w:ascii="宋体" w:hAnsi="宋体" w:cs="宋体"/>
                <w:b/>
                <w:bCs/>
                <w:kern w:val="0"/>
                <w:sz w:val="22"/>
              </w:rPr>
            </w:pPr>
            <w:r>
              <w:rPr>
                <w:rFonts w:hint="eastAsia" w:ascii="宋体" w:hAnsi="宋体" w:cs="宋体"/>
                <w:b/>
                <w:bCs/>
                <w:kern w:val="0"/>
                <w:sz w:val="22"/>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8"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一、推进政府重点领域工作全面公开</w:t>
            </w: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（一）围绕市区两级政府工作报告重点任务和民生实事项目做好专题公开</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1.按照北京市统一要求做好涉及市政府工作报告重点任务和重要民生实事项目的专题公开，按季度向社会公开任务落实情况。</w:t>
            </w:r>
          </w:p>
        </w:tc>
        <w:tc>
          <w:tcPr>
            <w:tcW w:w="685" w:type="pct"/>
            <w:noWrap w:val="0"/>
            <w:vAlign w:val="center"/>
          </w:tcPr>
          <w:p>
            <w:pPr>
              <w:widowControl/>
              <w:jc w:val="center"/>
              <w:rPr>
                <w:rFonts w:ascii="宋体" w:hAnsi="宋体" w:cs="宋体"/>
                <w:kern w:val="0"/>
                <w:sz w:val="22"/>
              </w:rPr>
            </w:pPr>
            <w:r>
              <w:rPr>
                <w:rFonts w:hint="eastAsia" w:ascii="宋体" w:hAnsi="宋体" w:cs="宋体"/>
                <w:sz w:val="22"/>
              </w:rPr>
              <w:t>2024年</w:t>
            </w:r>
            <w:r>
              <w:rPr>
                <w:rFonts w:ascii="宋体" w:hAnsi="宋体" w:cs="宋体"/>
                <w:sz w:val="22"/>
              </w:rPr>
              <w:t>12</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区政府办</w:t>
            </w:r>
          </w:p>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adjustRightInd w:val="0"/>
              <w:snapToGrid w:val="0"/>
              <w:spacing w:line="560" w:lineRule="exact"/>
              <w:jc w:val="center"/>
              <w:rPr>
                <w:rFonts w:ascii="宋体" w:hAnsi="宋体" w:cs="宋体"/>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sz w:val="22"/>
              </w:rPr>
              <w:t>2.做好区政府工作报告、年度重点任务和重要民生实事项目的专题公开，按季度向社会公开任务落实情况。</w:t>
            </w:r>
          </w:p>
        </w:tc>
        <w:tc>
          <w:tcPr>
            <w:tcW w:w="685" w:type="pct"/>
            <w:noWrap w:val="0"/>
            <w:vAlign w:val="center"/>
          </w:tcPr>
          <w:p>
            <w:pPr>
              <w:widowControl/>
              <w:jc w:val="center"/>
              <w:rPr>
                <w:rFonts w:ascii="宋体" w:hAnsi="宋体" w:cs="宋体"/>
                <w:kern w:val="0"/>
                <w:sz w:val="22"/>
              </w:rPr>
            </w:pPr>
            <w:r>
              <w:rPr>
                <w:rFonts w:hint="eastAsia" w:ascii="宋体" w:hAnsi="宋体" w:cs="宋体"/>
                <w:sz w:val="22"/>
              </w:rPr>
              <w:t>2024年</w:t>
            </w:r>
            <w:r>
              <w:rPr>
                <w:rFonts w:ascii="宋体" w:hAnsi="宋体" w:cs="宋体"/>
                <w:sz w:val="22"/>
              </w:rPr>
              <w:t>12</w:t>
            </w:r>
            <w:r>
              <w:rPr>
                <w:rFonts w:hint="eastAsia" w:ascii="宋体" w:hAnsi="宋体" w:cs="宋体"/>
                <w:sz w:val="22"/>
              </w:rPr>
              <w:t>月</w:t>
            </w:r>
          </w:p>
        </w:tc>
        <w:tc>
          <w:tcPr>
            <w:tcW w:w="731" w:type="pct"/>
            <w:noWrap w:val="0"/>
            <w:vAlign w:val="center"/>
          </w:tcPr>
          <w:p>
            <w:pPr>
              <w:jc w:val="center"/>
            </w:pPr>
            <w:r>
              <w:rPr>
                <w:rFonts w:hint="eastAsia" w:ascii="宋体" w:hAnsi="宋体" w:cs="宋体"/>
                <w:kern w:val="0"/>
                <w:sz w:val="22"/>
              </w:rPr>
              <w:t>区政务服务局</w:t>
            </w:r>
          </w:p>
        </w:tc>
        <w:tc>
          <w:tcPr>
            <w:tcW w:w="685" w:type="pct"/>
            <w:noWrap w:val="0"/>
            <w:vAlign w:val="center"/>
          </w:tcPr>
          <w:p>
            <w:pPr>
              <w:adjustRightInd w:val="0"/>
              <w:snapToGrid w:val="0"/>
              <w:spacing w:line="560" w:lineRule="exact"/>
              <w:jc w:val="center"/>
              <w:rPr>
                <w:rFonts w:ascii="宋体" w:hAnsi="宋体" w:cs="宋体"/>
                <w:sz w:val="22"/>
              </w:rPr>
            </w:pPr>
            <w:r>
              <w:rPr>
                <w:rFonts w:hint="eastAsia" w:ascii="宋体" w:hAnsi="宋体" w:cs="宋体"/>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（二）按照全市统一部署做好政府信息专题公开</w:t>
            </w:r>
          </w:p>
        </w:tc>
        <w:tc>
          <w:tcPr>
            <w:tcW w:w="1997" w:type="pct"/>
            <w:noWrap w:val="0"/>
            <w:vAlign w:val="center"/>
          </w:tcPr>
          <w:p>
            <w:pPr>
              <w:widowControl/>
              <w:jc w:val="left"/>
              <w:rPr>
                <w:rFonts w:ascii="宋体" w:hAnsi="宋体" w:cs="宋体"/>
                <w:kern w:val="0"/>
                <w:sz w:val="22"/>
              </w:rPr>
            </w:pPr>
            <w:r>
              <w:rPr>
                <w:rFonts w:hint="eastAsia" w:ascii="宋体" w:hAnsi="宋体" w:cs="宋体"/>
                <w:sz w:val="22"/>
              </w:rPr>
              <w:t>3.做好京津冀协同发展、疏解整治促提升等方面的信息公开，及时发布经济社会发展相关政策信息。</w:t>
            </w:r>
          </w:p>
        </w:tc>
        <w:tc>
          <w:tcPr>
            <w:tcW w:w="685" w:type="pct"/>
            <w:noWrap w:val="0"/>
            <w:vAlign w:val="center"/>
          </w:tcPr>
          <w:p>
            <w:pPr>
              <w:widowControl/>
              <w:jc w:val="center"/>
              <w:rPr>
                <w:rFonts w:ascii="宋体" w:hAnsi="宋体" w:cs="宋体"/>
                <w:kern w:val="0"/>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区发改委</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sz w:val="22"/>
              </w:rPr>
              <w:t>4.做好国际科技创新中心核心区建设信息公开工作，重点公开推进新型研发机构、创新基地、科技领军企业加快发展，加速科技成果转化落地的政策信息。做好打造高品质特色产业园区、特色专业化空间载体等阶段性成果的信息公开。</w:t>
            </w:r>
          </w:p>
        </w:tc>
        <w:tc>
          <w:tcPr>
            <w:tcW w:w="685" w:type="pct"/>
            <w:noWrap w:val="0"/>
            <w:vAlign w:val="center"/>
          </w:tcPr>
          <w:p>
            <w:pPr>
              <w:widowControl/>
              <w:jc w:val="center"/>
              <w:rPr>
                <w:rFonts w:ascii="宋体" w:hAnsi="宋体" w:cs="宋体"/>
                <w:kern w:val="0"/>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中关村科学城管委会</w:t>
            </w:r>
            <w:r>
              <w:rPr>
                <w:rFonts w:ascii="宋体" w:hAnsi="宋体" w:cs="宋体"/>
                <w:kern w:val="0"/>
                <w:sz w:val="22"/>
              </w:rPr>
              <w:t xml:space="preserve"> </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sz w:val="22"/>
              </w:rPr>
            </w:pPr>
            <w:r>
              <w:rPr>
                <w:rFonts w:hint="eastAsia" w:ascii="宋体" w:hAnsi="宋体" w:cs="宋体"/>
                <w:sz w:val="22"/>
              </w:rPr>
              <w:t>5.</w:t>
            </w:r>
            <w:r>
              <w:rPr>
                <w:rFonts w:hint="eastAsia"/>
              </w:rPr>
              <w:t>围绕“两区”建设做好信息公开，重点做好自贸试验区提升战略，打造“数智自贸”特色开放品牌，促进主导产业全产业链开放，高质量建设中关村综合保税区等方面的信息公开。</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中关村科学城管委会</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38"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一、推进政府重点领域工作全面公开</w:t>
            </w:r>
          </w:p>
        </w:tc>
        <w:tc>
          <w:tcPr>
            <w:tcW w:w="463" w:type="pct"/>
            <w:vMerge w:val="restart"/>
            <w:noWrap w:val="0"/>
            <w:vAlign w:val="center"/>
          </w:tcPr>
          <w:p>
            <w:pPr>
              <w:jc w:val="left"/>
              <w:rPr>
                <w:rFonts w:ascii="宋体" w:hAnsi="宋体" w:cs="宋体"/>
                <w:kern w:val="0"/>
                <w:sz w:val="22"/>
              </w:rPr>
            </w:pPr>
            <w:r>
              <w:rPr>
                <w:rFonts w:hint="eastAsia" w:ascii="宋体" w:hAnsi="宋体" w:cs="宋体"/>
                <w:kern w:val="0"/>
                <w:sz w:val="22"/>
              </w:rPr>
              <w:t>（二）按照全市统一部署做好政府信息专题公开</w:t>
            </w:r>
          </w:p>
        </w:tc>
        <w:tc>
          <w:tcPr>
            <w:tcW w:w="1997" w:type="pct"/>
            <w:noWrap w:val="0"/>
            <w:vAlign w:val="center"/>
          </w:tcPr>
          <w:p>
            <w:pPr>
              <w:widowControl/>
              <w:jc w:val="left"/>
              <w:rPr>
                <w:rFonts w:ascii="宋体" w:hAnsi="宋体" w:cs="宋体"/>
                <w:sz w:val="22"/>
              </w:rPr>
            </w:pPr>
            <w:r>
              <w:rPr>
                <w:rFonts w:hint="eastAsia" w:ascii="宋体" w:hAnsi="宋体" w:cs="宋体"/>
                <w:sz w:val="22"/>
              </w:rPr>
              <w:t>6.做好深化落实“证照分离”和市场主体登记确认制改革，一体化综合监管改革等方面信息公开，及时发布阶段性政策措施和成果。</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区市场监管局</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sz w:val="22"/>
              </w:rPr>
            </w:pPr>
            <w:r>
              <w:rPr>
                <w:rFonts w:hint="eastAsia" w:ascii="宋体" w:hAnsi="宋体" w:cs="宋体"/>
                <w:sz w:val="22"/>
              </w:rPr>
              <w:t>7.</w:t>
            </w:r>
            <w:r>
              <w:rPr>
                <w:rFonts w:hint="eastAsia"/>
              </w:rPr>
              <w:t>及时公开老旧小区综合整治推进实施情况，发布老旧小区改造和加装电梯成果典型案例。及时发布保障性住房建设、提升物业管理等方面政策信息。</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区住建委</w:t>
            </w:r>
          </w:p>
          <w:p>
            <w:pPr>
              <w:jc w:val="center"/>
              <w:rPr>
                <w:rFonts w:ascii="宋体" w:hAnsi="宋体" w:cs="宋体"/>
                <w:kern w:val="0"/>
                <w:sz w:val="22"/>
              </w:rPr>
            </w:pPr>
            <w:r>
              <w:rPr>
                <w:rFonts w:hint="eastAsia" w:ascii="宋体" w:hAnsi="宋体" w:cs="宋体"/>
                <w:kern w:val="0"/>
                <w:sz w:val="22"/>
              </w:rPr>
              <w:t>区房管局</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8.持续做好生活垃圾分类、重点区域环境整治提升等方面信息公开。</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区城市管理委</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9.</w:t>
            </w:r>
            <w:r>
              <w:rPr>
                <w:rFonts w:hint="eastAsia"/>
              </w:rPr>
              <w:t>做好建设花园城市示范街区、小微绿地等方面信息公开。加强水资源、水环境、水生态“三水”共治，持续推进饮用水水源地规范化建设相关信息公开。</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区园林绿化局</w:t>
            </w:r>
          </w:p>
          <w:p>
            <w:pPr>
              <w:jc w:val="center"/>
              <w:rPr>
                <w:rFonts w:ascii="宋体" w:hAnsi="宋体" w:cs="宋体"/>
                <w:kern w:val="0"/>
                <w:sz w:val="22"/>
              </w:rPr>
            </w:pPr>
            <w:r>
              <w:rPr>
                <w:rFonts w:hint="eastAsia" w:ascii="宋体" w:hAnsi="宋体" w:cs="宋体"/>
                <w:kern w:val="0"/>
                <w:sz w:val="22"/>
              </w:rPr>
              <w:t>区生态环境局</w:t>
            </w:r>
          </w:p>
          <w:p>
            <w:pPr>
              <w:jc w:val="center"/>
              <w:rPr>
                <w:rFonts w:ascii="宋体" w:hAnsi="宋体" w:cs="宋体"/>
                <w:kern w:val="0"/>
                <w:sz w:val="22"/>
              </w:rPr>
            </w:pPr>
            <w:r>
              <w:rPr>
                <w:rFonts w:hint="eastAsia" w:ascii="宋体" w:hAnsi="宋体" w:cs="宋体"/>
                <w:kern w:val="0"/>
                <w:sz w:val="22"/>
              </w:rPr>
              <w:t>区水务局</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10.</w:t>
            </w:r>
            <w:r>
              <w:rPr>
                <w:rFonts w:hint="eastAsia"/>
              </w:rPr>
              <w:t>加强本区在就业帮扶和社会救助方面的信息公开。做好养老服务体系、医疗保障体系和普惠托育服务体系建设等方面的信息公开工作。</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区人社局</w:t>
            </w:r>
          </w:p>
          <w:p>
            <w:pPr>
              <w:jc w:val="center"/>
              <w:rPr>
                <w:rFonts w:ascii="宋体" w:hAnsi="宋体" w:cs="宋体"/>
                <w:kern w:val="0"/>
                <w:sz w:val="22"/>
              </w:rPr>
            </w:pPr>
            <w:r>
              <w:rPr>
                <w:rFonts w:hint="eastAsia" w:ascii="宋体" w:hAnsi="宋体" w:cs="宋体"/>
                <w:kern w:val="0"/>
                <w:sz w:val="22"/>
              </w:rPr>
              <w:t>区民政局</w:t>
            </w:r>
          </w:p>
          <w:p>
            <w:pPr>
              <w:jc w:val="center"/>
              <w:rPr>
                <w:rFonts w:ascii="宋体" w:hAnsi="宋体" w:cs="宋体"/>
                <w:kern w:val="0"/>
                <w:sz w:val="22"/>
              </w:rPr>
            </w:pPr>
            <w:r>
              <w:rPr>
                <w:rFonts w:hint="eastAsia" w:ascii="宋体" w:hAnsi="宋体" w:cs="宋体"/>
                <w:kern w:val="0"/>
                <w:sz w:val="22"/>
              </w:rPr>
              <w:t>区医保局</w:t>
            </w:r>
          </w:p>
          <w:p>
            <w:pPr>
              <w:jc w:val="center"/>
              <w:rPr>
                <w:rFonts w:ascii="宋体" w:hAnsi="宋体" w:cs="宋体"/>
                <w:kern w:val="0"/>
                <w:sz w:val="22"/>
              </w:rPr>
            </w:pPr>
            <w:r>
              <w:rPr>
                <w:rFonts w:hint="eastAsia" w:ascii="宋体" w:hAnsi="宋体" w:cs="宋体"/>
                <w:kern w:val="0"/>
                <w:sz w:val="22"/>
              </w:rPr>
              <w:t>区卫健委</w:t>
            </w:r>
          </w:p>
          <w:p>
            <w:pPr>
              <w:jc w:val="center"/>
              <w:rPr>
                <w:rFonts w:ascii="宋体" w:hAnsi="宋体" w:cs="宋体"/>
                <w:kern w:val="0"/>
                <w:sz w:val="22"/>
              </w:rPr>
            </w:pPr>
            <w:r>
              <w:rPr>
                <w:rFonts w:hint="eastAsia" w:ascii="宋体" w:hAnsi="宋体" w:cs="宋体"/>
                <w:kern w:val="0"/>
                <w:sz w:val="22"/>
              </w:rPr>
              <w:t>区教委</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438" w:type="pct"/>
            <w:vMerge w:val="continue"/>
            <w:noWrap w:val="0"/>
            <w:vAlign w:val="center"/>
          </w:tcPr>
          <w:p>
            <w:pPr>
              <w:widowControl/>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11.</w:t>
            </w:r>
            <w:r>
              <w:rPr>
                <w:rFonts w:hint="eastAsia"/>
              </w:rPr>
              <w:t>做好打造“书香海淀”“博物馆之城”等品牌工作的信息公开。推进深化三山五园国家文物保护利用示范区建设，文物建筑活化利用等方面信息公开。</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区文旅局</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38"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一、推进政府重点领域工作全面公开</w:t>
            </w: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（二）按照全市统一部署做好政府信息专题公开</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12.</w:t>
            </w:r>
            <w:r>
              <w:rPr>
                <w:rFonts w:hint="eastAsia"/>
              </w:rPr>
              <w:t>持续做好退役军人服务保障体系建设、移交安置、就业扶持、拥军优抚、褒扬纪念等方面信息公开。</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区退役军人局</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13.</w:t>
            </w:r>
            <w:r>
              <w:rPr>
                <w:rFonts w:hint="eastAsia"/>
              </w:rPr>
              <w:t>强化财政预决算信息公开，优化完善公开内容形式，提高规范性可读性，便于公众理解监督。推进政府债务信息公开，及时做好政府债务限额、余额等情况公开。优化“财政资金直达基层”专栏，集中发布直达资金相关重要政策、资金分配使用情况。</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区财政局</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14.</w:t>
            </w:r>
            <w:r>
              <w:rPr>
                <w:rFonts w:hint="eastAsia"/>
              </w:rPr>
              <w:t>结合机构改革最新情况做好权责清单动态更新，并在区政府网站集中规范发布。</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2</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各相关</w:t>
            </w:r>
            <w:r>
              <w:rPr>
                <w:rFonts w:ascii="宋体" w:hAnsi="宋体" w:cs="宋体"/>
                <w:kern w:val="0"/>
                <w:sz w:val="22"/>
              </w:rPr>
              <w:t>部门</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38" w:type="pct"/>
            <w:vMerge w:val="restart"/>
            <w:noWrap w:val="0"/>
            <w:vAlign w:val="center"/>
          </w:tcPr>
          <w:p>
            <w:pPr>
              <w:jc w:val="left"/>
              <w:rPr>
                <w:rFonts w:ascii="宋体" w:hAnsi="宋体" w:cs="宋体"/>
                <w:kern w:val="0"/>
                <w:sz w:val="22"/>
              </w:rPr>
            </w:pPr>
            <w:r>
              <w:rPr>
                <w:rFonts w:hint="eastAsia" w:ascii="宋体" w:hAnsi="宋体" w:cs="宋体"/>
                <w:kern w:val="0"/>
                <w:sz w:val="22"/>
              </w:rPr>
              <w:t>二、提升政策公开全流程服务效能</w:t>
            </w:r>
          </w:p>
          <w:p>
            <w:pPr>
              <w:jc w:val="left"/>
              <w:rPr>
                <w:rFonts w:ascii="宋体" w:hAnsi="宋体" w:cs="宋体"/>
                <w:kern w:val="0"/>
                <w:sz w:val="22"/>
              </w:rPr>
            </w:pP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（一）政策意见征集</w:t>
            </w:r>
          </w:p>
        </w:tc>
        <w:tc>
          <w:tcPr>
            <w:tcW w:w="1997" w:type="pct"/>
            <w:noWrap w:val="0"/>
            <w:vAlign w:val="center"/>
          </w:tcPr>
          <w:p>
            <w:pPr>
              <w:jc w:val="left"/>
              <w:rPr>
                <w:rFonts w:ascii="宋体" w:hAnsi="宋体" w:cs="宋体"/>
                <w:kern w:val="0"/>
                <w:sz w:val="22"/>
              </w:rPr>
            </w:pPr>
            <w:r>
              <w:rPr>
                <w:rFonts w:hint="eastAsia" w:ascii="宋体" w:hAnsi="宋体" w:cs="宋体"/>
                <w:kern w:val="0"/>
                <w:sz w:val="22"/>
              </w:rPr>
              <w:t>15.强化群众企业参与政策制定机制，通过调研座谈、问卷调查、大数据分析等方式，对于涉及公众切身利益的政策广泛开展政策需求征集工作，主动问计求策，汇集公众需求及意见建议，增强政策有效性。</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p>
            <w:pPr>
              <w:jc w:val="center"/>
              <w:rPr>
                <w:rFonts w:ascii="宋体" w:hAnsi="宋体" w:cs="宋体"/>
                <w:kern w:val="0"/>
                <w:sz w:val="22"/>
              </w:rPr>
            </w:pPr>
            <w:r>
              <w:rPr>
                <w:rFonts w:hint="eastAsia" w:ascii="宋体" w:hAnsi="宋体" w:cs="宋体"/>
                <w:kern w:val="0"/>
                <w:sz w:val="22"/>
              </w:rPr>
              <w:t>区</w:t>
            </w:r>
            <w:r>
              <w:rPr>
                <w:rFonts w:ascii="宋体" w:hAnsi="宋体" w:cs="宋体"/>
                <w:kern w:val="0"/>
                <w:sz w:val="22"/>
              </w:rPr>
              <w:t>司法局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16.</w:t>
            </w:r>
            <w:r>
              <w:rPr>
                <w:rFonts w:hint="eastAsia"/>
              </w:rPr>
              <w:t xml:space="preserve"> </w:t>
            </w:r>
            <w:r>
              <w:rPr>
                <w:rFonts w:hint="eastAsia" w:ascii="宋体" w:hAnsi="宋体" w:cs="宋体"/>
                <w:kern w:val="0"/>
                <w:sz w:val="22"/>
              </w:rPr>
              <w:t>加强政策性文件意见征集。在涉及公众切身利益的政策草案形成后，应优先通过市区两级政府网站政策意见征集栏目向社会公开征集意见，并充分利用政务新媒体、报纸报刊、广播电视等渠道，扩大政策意见征集的知晓面和参与度。</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p>
            <w:pPr>
              <w:jc w:val="center"/>
              <w:rPr>
                <w:rFonts w:ascii="宋体" w:hAnsi="宋体" w:cs="宋体"/>
                <w:kern w:val="0"/>
                <w:sz w:val="22"/>
              </w:rPr>
            </w:pPr>
            <w:r>
              <w:rPr>
                <w:rFonts w:hint="eastAsia" w:ascii="宋体" w:hAnsi="宋体" w:cs="宋体"/>
                <w:kern w:val="0"/>
                <w:sz w:val="22"/>
              </w:rPr>
              <w:t>区融媒体中心</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38" w:type="pct"/>
            <w:vMerge w:val="restart"/>
            <w:noWrap w:val="0"/>
            <w:vAlign w:val="center"/>
          </w:tcPr>
          <w:p>
            <w:pPr>
              <w:jc w:val="left"/>
              <w:rPr>
                <w:rFonts w:hint="eastAsia" w:ascii="宋体" w:hAnsi="宋体" w:cs="宋体"/>
                <w:kern w:val="0"/>
                <w:sz w:val="22"/>
              </w:rPr>
            </w:pPr>
            <w:r>
              <w:rPr>
                <w:rFonts w:hint="eastAsia" w:ascii="宋体" w:hAnsi="宋体" w:cs="宋体"/>
                <w:kern w:val="0"/>
                <w:sz w:val="22"/>
              </w:rPr>
              <w:t>二、提升政策公开全流程服务效能</w:t>
            </w: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（二）政策制定审核</w:t>
            </w:r>
          </w:p>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17.</w:t>
            </w:r>
            <w:r>
              <w:rPr>
                <w:rFonts w:hint="eastAsia"/>
              </w:rPr>
              <w:t xml:space="preserve"> </w:t>
            </w:r>
            <w:r>
              <w:rPr>
                <w:rFonts w:hint="eastAsia" w:ascii="宋体" w:hAnsi="宋体" w:cs="宋体"/>
                <w:kern w:val="0"/>
                <w:sz w:val="22"/>
              </w:rPr>
              <w:t>细化政策制定标准。政策制定时应从群众企业使用政策角度认真研究，根据宏观规划、计划方案、兑现办事等类型编制政策内容，确保政策的可操作性。宏观规划、计划方案类政策原则上不再另行出台配套细则，确需出台配套细则的，应当与政策同步制定、同步发布。</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0</w:t>
            </w:r>
            <w:r>
              <w:rPr>
                <w:rFonts w:hint="eastAsia" w:ascii="宋体" w:hAnsi="宋体" w:cs="宋体"/>
                <w:sz w:val="22"/>
              </w:rPr>
              <w:t>月</w:t>
            </w:r>
          </w:p>
        </w:tc>
        <w:tc>
          <w:tcPr>
            <w:tcW w:w="731" w:type="pct"/>
            <w:noWrap w:val="0"/>
            <w:vAlign w:val="center"/>
          </w:tcPr>
          <w:p>
            <w:pPr>
              <w:jc w:val="center"/>
            </w:pPr>
            <w:r>
              <w:rPr>
                <w:rFonts w:hint="eastAsia" w:ascii="宋体" w:hAnsi="宋体" w:cs="宋体"/>
                <w:kern w:val="0"/>
                <w:sz w:val="22"/>
              </w:rPr>
              <w:t>各部门</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8</w:t>
            </w:r>
            <w:r>
              <w:rPr>
                <w:rFonts w:hint="eastAsia" w:ascii="宋体" w:hAnsi="宋体" w:cs="宋体"/>
                <w:kern w:val="0"/>
                <w:sz w:val="22"/>
              </w:rPr>
              <w:t>.建立政策前置审核工作制度。政策发布前，政策制定部门应落实《海淀区落实“京策”平台建设任务工作方案》（随后印发）要求开展“制定标准性、公开合规性、解读规范性、兑现操作性、测算必要性”等审核工作。多部门联合印发的政策，由牵头部门发起政策审核。各审核单位按要求进行审核，未按要求完成审核的政策不得发布实施。</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各部门负责发起，区政府办、区财政局、区司法局、区融媒体中心、区政务服务局负责审核</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ascii="宋体" w:hAnsi="宋体" w:cs="宋体"/>
                <w:kern w:val="0"/>
                <w:sz w:val="22"/>
              </w:rPr>
              <w:t>19</w:t>
            </w:r>
            <w:r>
              <w:rPr>
                <w:rFonts w:hint="eastAsia" w:ascii="宋体" w:hAnsi="宋体" w:cs="宋体"/>
                <w:kern w:val="0"/>
                <w:sz w:val="22"/>
              </w:rPr>
              <w:t>.</w:t>
            </w:r>
            <w:r>
              <w:rPr>
                <w:rFonts w:hint="eastAsia"/>
              </w:rPr>
              <w:t xml:space="preserve"> </w:t>
            </w:r>
            <w:r>
              <w:rPr>
                <w:rFonts w:hint="eastAsia" w:ascii="宋体" w:hAnsi="宋体" w:cs="宋体"/>
                <w:kern w:val="0"/>
                <w:sz w:val="22"/>
              </w:rPr>
              <w:t>健全政策动态清理工作机制。梳理本单位政策清单，每年至少开展一次政策有效性集中确认和失效政策标注工作，并同步在政府网站更新，提升政策集中公开的质量实效。</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2</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各部门</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38" w:type="pct"/>
            <w:vMerge w:val="continue"/>
            <w:noWrap w:val="0"/>
            <w:vAlign w:val="center"/>
          </w:tcPr>
          <w:p>
            <w:pPr>
              <w:jc w:val="left"/>
              <w:rPr>
                <w:rFonts w:ascii="宋体" w:hAnsi="宋体" w:cs="宋体"/>
                <w:kern w:val="0"/>
                <w:sz w:val="22"/>
              </w:rPr>
            </w:pPr>
          </w:p>
        </w:tc>
        <w:tc>
          <w:tcPr>
            <w:tcW w:w="463" w:type="pct"/>
            <w:noWrap w:val="0"/>
            <w:vAlign w:val="center"/>
          </w:tcPr>
          <w:p>
            <w:pPr>
              <w:widowControl/>
              <w:jc w:val="left"/>
              <w:rPr>
                <w:rFonts w:ascii="宋体" w:hAnsi="宋体" w:cs="宋体"/>
                <w:kern w:val="0"/>
                <w:sz w:val="22"/>
              </w:rPr>
            </w:pPr>
          </w:p>
          <w:p>
            <w:pPr>
              <w:widowControl/>
              <w:jc w:val="left"/>
              <w:rPr>
                <w:rFonts w:hint="eastAsia" w:ascii="宋体" w:hAnsi="宋体" w:cs="宋体"/>
                <w:kern w:val="0"/>
                <w:sz w:val="22"/>
              </w:rPr>
            </w:pPr>
            <w:r>
              <w:rPr>
                <w:rFonts w:hint="eastAsia" w:ascii="宋体" w:hAnsi="宋体" w:cs="宋体"/>
                <w:kern w:val="0"/>
                <w:sz w:val="22"/>
              </w:rPr>
              <w:t>（三）政策发布解读</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20.</w:t>
            </w:r>
            <w:r>
              <w:rPr>
                <w:rFonts w:hint="eastAsia"/>
              </w:rPr>
              <w:t xml:space="preserve"> </w:t>
            </w:r>
            <w:r>
              <w:rPr>
                <w:rFonts w:hint="eastAsia" w:ascii="宋体" w:hAnsi="宋体" w:cs="宋体"/>
                <w:kern w:val="0"/>
                <w:sz w:val="22"/>
              </w:rPr>
              <w:t>建立政策集中规范发布制度。将政府网站作为政策发布的第一平台，按照政府网站最新政策视图管理要求，在区政府网站“政策文件”栏目集中发布政策。</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区融媒体中心</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438" w:type="pct"/>
            <w:vMerge w:val="restart"/>
            <w:noWrap w:val="0"/>
            <w:vAlign w:val="center"/>
          </w:tcPr>
          <w:p>
            <w:pPr>
              <w:jc w:val="left"/>
              <w:rPr>
                <w:rFonts w:ascii="宋体" w:hAnsi="宋体" w:cs="宋体"/>
                <w:kern w:val="0"/>
                <w:sz w:val="22"/>
              </w:rPr>
            </w:pPr>
            <w:r>
              <w:rPr>
                <w:rFonts w:hint="eastAsia" w:ascii="宋体" w:hAnsi="宋体" w:cs="宋体"/>
                <w:kern w:val="0"/>
                <w:sz w:val="22"/>
              </w:rPr>
              <w:t>二、提升政策公开全流程服务效能</w:t>
            </w: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（三）政策发布解读</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21.严格落实政策解读“三同步”原则。实现对宏观规划、计划方案、兑现办事等政策的分类解读。结合政策内容，注重解读政策的背景依据、目标任务、主要内容、创新特点、专有名词、涉及范围、执行标准、注意事项、新旧政策差异等。丰富政策解读形式，鼓励通过简明问答、一图读懂、视频音频等群众企业喜闻乐见的方式开展形象化、通俗化解读，综合运用“报、网、端、微、屏”等平台加强政策的发布和解读。</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各政策制定部门</w:t>
            </w:r>
            <w:r>
              <w:rPr>
                <w:rFonts w:ascii="宋体" w:hAnsi="宋体" w:cs="宋体"/>
                <w:kern w:val="0"/>
                <w:sz w:val="22"/>
              </w:rPr>
              <w:br w:type="textWrapping"/>
            </w:r>
            <w:r>
              <w:rPr>
                <w:rFonts w:hint="eastAsia" w:ascii="宋体" w:hAnsi="宋体" w:cs="宋体"/>
                <w:kern w:val="0"/>
                <w:sz w:val="22"/>
              </w:rPr>
              <w:t>区融媒体中心</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22.</w:t>
            </w:r>
            <w:r>
              <w:rPr>
                <w:rFonts w:hint="eastAsia"/>
              </w:rPr>
              <w:t xml:space="preserve"> </w:t>
            </w:r>
            <w:r>
              <w:rPr>
                <w:rFonts w:hint="eastAsia" w:ascii="宋体" w:hAnsi="宋体" w:cs="宋体"/>
                <w:kern w:val="0"/>
                <w:sz w:val="22"/>
              </w:rPr>
              <w:t>建立政策舆情收集、研判、处置和回应机制。按照“谁起草、谁负责”的原则，压实主体责任。政策发布前，应充分评估可能产生的舆情风险；政策发布后，要加强监测预警和分析研判，发现问题快速反应，及时回应社会关切。</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各部门</w:t>
            </w:r>
          </w:p>
        </w:tc>
        <w:tc>
          <w:tcPr>
            <w:tcW w:w="685" w:type="pct"/>
            <w:noWrap w:val="0"/>
            <w:vAlign w:val="center"/>
          </w:tcPr>
          <w:p>
            <w:pPr>
              <w:jc w:val="center"/>
              <w:rPr>
                <w:rFonts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438" w:type="pct"/>
            <w:vMerge w:val="continue"/>
            <w:noWrap w:val="0"/>
            <w:vAlign w:val="center"/>
          </w:tcPr>
          <w:p>
            <w:pPr>
              <w:jc w:val="left"/>
              <w:rPr>
                <w:rFonts w:ascii="宋体" w:hAnsi="宋体" w:cs="宋体"/>
                <w:kern w:val="0"/>
                <w:sz w:val="22"/>
              </w:rPr>
            </w:pP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（四）政策兑现评价</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3</w:t>
            </w:r>
            <w:r>
              <w:rPr>
                <w:rFonts w:hint="eastAsia" w:ascii="宋体" w:hAnsi="宋体" w:cs="宋体"/>
                <w:kern w:val="0"/>
                <w:sz w:val="22"/>
              </w:rPr>
              <w:t>.建立政策兑现事项报送机制。各部门发布涉及财政资金的惠企政策时，应按要求进行标签化处理，明确政策核心要素，同步报送市政府门户网站“政策兑现专区”，确保所有涉及财政资金的惠企政策集中兑现、一站式申报。</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4</w:t>
            </w:r>
            <w:r>
              <w:rPr>
                <w:rFonts w:hint="eastAsia" w:ascii="宋体" w:hAnsi="宋体" w:cs="宋体"/>
                <w:kern w:val="0"/>
                <w:sz w:val="22"/>
              </w:rPr>
              <w:t>.开展政策精准推送。选取10家以上科技园区作为政策推送对象，分析推送对象的推送事项、推送范围、推送方式，结合推送对象的政策需求向市级政策库汇集数据。通过对政策库相关数据分析，主动向政策服务对象精准推送政策。</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8" w:type="pct"/>
            <w:noWrap w:val="0"/>
            <w:vAlign w:val="center"/>
          </w:tcPr>
          <w:p>
            <w:pPr>
              <w:jc w:val="left"/>
              <w:rPr>
                <w:rFonts w:ascii="宋体" w:hAnsi="宋体" w:cs="宋体"/>
                <w:kern w:val="0"/>
                <w:sz w:val="22"/>
              </w:rPr>
            </w:pPr>
            <w:r>
              <w:rPr>
                <w:rFonts w:hint="eastAsia" w:ascii="宋体" w:hAnsi="宋体" w:cs="宋体"/>
                <w:kern w:val="0"/>
                <w:sz w:val="22"/>
              </w:rPr>
              <w:t>二、提升政策公开全流程服务效能</w:t>
            </w:r>
          </w:p>
        </w:tc>
        <w:tc>
          <w:tcPr>
            <w:tcW w:w="463" w:type="pct"/>
            <w:noWrap w:val="0"/>
            <w:vAlign w:val="center"/>
          </w:tcPr>
          <w:p>
            <w:pPr>
              <w:widowControl/>
              <w:jc w:val="left"/>
              <w:rPr>
                <w:rFonts w:ascii="宋体" w:hAnsi="宋体" w:cs="宋体"/>
                <w:kern w:val="0"/>
                <w:sz w:val="22"/>
              </w:rPr>
            </w:pPr>
            <w:r>
              <w:rPr>
                <w:rFonts w:hint="eastAsia" w:ascii="宋体" w:hAnsi="宋体" w:cs="宋体"/>
                <w:kern w:val="0"/>
                <w:sz w:val="22"/>
              </w:rPr>
              <w:t>（四）政策兑现评价</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5</w:t>
            </w:r>
            <w:r>
              <w:rPr>
                <w:rFonts w:hint="eastAsia" w:ascii="宋体" w:hAnsi="宋体" w:cs="宋体"/>
                <w:kern w:val="0"/>
                <w:sz w:val="22"/>
              </w:rPr>
              <w:t>.开展政策效果评价。选取重点政策，围绕执行标准、适用范围、使用情况、取得成效、存在问题等，通过征集调查、专题座谈、重点访谈、舆情监测、网络问政等方式开展实施效果评价，全面掌握政策落地情况，并适时转化为调整政策制定的措施。</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w:t>
            </w:r>
            <w:r>
              <w:rPr>
                <w:rFonts w:ascii="宋体" w:hAnsi="宋体" w:cs="宋体"/>
                <w:sz w:val="22"/>
              </w:rPr>
              <w:t>1</w:t>
            </w:r>
            <w:r>
              <w:rPr>
                <w:rFonts w:hint="eastAsia" w:ascii="宋体" w:hAnsi="宋体" w:cs="宋体"/>
                <w:sz w:val="22"/>
              </w:rPr>
              <w:t>2月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438" w:type="pct"/>
            <w:vMerge w:val="restart"/>
            <w:noWrap w:val="0"/>
            <w:vAlign w:val="center"/>
          </w:tcPr>
          <w:p>
            <w:pPr>
              <w:jc w:val="left"/>
              <w:rPr>
                <w:rFonts w:ascii="宋体" w:hAnsi="宋体" w:cs="宋体"/>
                <w:kern w:val="0"/>
                <w:sz w:val="22"/>
              </w:rPr>
            </w:pPr>
            <w:r>
              <w:rPr>
                <w:rFonts w:hint="eastAsia" w:ascii="宋体" w:hAnsi="宋体" w:cs="宋体"/>
                <w:kern w:val="0"/>
                <w:sz w:val="22"/>
              </w:rPr>
              <w:t>三、优化政务公开服务方式</w:t>
            </w:r>
          </w:p>
          <w:p>
            <w:pPr>
              <w:jc w:val="left"/>
              <w:rPr>
                <w:rFonts w:ascii="宋体" w:hAnsi="宋体" w:cs="宋体"/>
                <w:kern w:val="0"/>
                <w:sz w:val="22"/>
              </w:rPr>
            </w:pP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（一）强化政务公开平台智能集约</w:t>
            </w:r>
          </w:p>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ascii="宋体" w:hAnsi="宋体" w:cs="宋体"/>
                <w:kern w:val="0"/>
                <w:sz w:val="22"/>
              </w:rPr>
              <w:t>26.</w:t>
            </w:r>
            <w:r>
              <w:rPr>
                <w:rFonts w:hint="eastAsia"/>
              </w:rPr>
              <w:t xml:space="preserve"> </w:t>
            </w:r>
            <w:r>
              <w:rPr>
                <w:rFonts w:hint="eastAsia" w:ascii="宋体" w:hAnsi="宋体" w:cs="宋体"/>
                <w:kern w:val="0"/>
                <w:sz w:val="22"/>
              </w:rPr>
              <w:t>落实北京市政策服务（“京策”）平台建设任务。依托“京策”平台建设，大力推进海淀区政策管理的规范化，确保“‘京策’平台汇聚市区两级政策性文件、集成全市兑现类政策事项、贯通市区两级现有政策服务平台”。</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2</w:t>
            </w:r>
            <w:r>
              <w:rPr>
                <w:rFonts w:hint="eastAsia" w:ascii="宋体" w:hAnsi="宋体" w:cs="宋体"/>
                <w:sz w:val="22"/>
              </w:rPr>
              <w:t>月</w:t>
            </w:r>
          </w:p>
        </w:tc>
        <w:tc>
          <w:tcPr>
            <w:tcW w:w="731" w:type="pct"/>
            <w:noWrap w:val="0"/>
            <w:vAlign w:val="center"/>
          </w:tcPr>
          <w:p>
            <w:pPr>
              <w:spacing w:after="120"/>
              <w:ind w:firstLine="330" w:firstLineChars="150"/>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7</w:t>
            </w:r>
            <w:r>
              <w:rPr>
                <w:rFonts w:hint="eastAsia" w:ascii="宋体" w:hAnsi="宋体" w:cs="宋体"/>
                <w:kern w:val="0"/>
                <w:sz w:val="22"/>
              </w:rPr>
              <w:t>.强化政府网站和政务新媒体服务能力。围绕提升群众企业使用感受，发挥多渠道服务优势，推动政府网站和政务新媒体平台协同互补、一体化服务。加强政府网站、政务新媒体一体化监管，推动检查指标数据实时监测，着力提升全程跟踪、督办、预警效果。用好用户行为数据和政府部门履职数据，形成大数据分析报告，赋能各部门网上履职和服务能力。严格落实网络意识形态责任制，确保政府网站和政务新媒体安全平稳运行。</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w:t>
            </w:r>
            <w:r>
              <w:rPr>
                <w:rFonts w:ascii="宋体" w:hAnsi="宋体" w:cs="宋体"/>
                <w:sz w:val="22"/>
              </w:rPr>
              <w:t>12</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区融媒体中心</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8</w:t>
            </w:r>
            <w:r>
              <w:rPr>
                <w:rFonts w:hint="eastAsia" w:ascii="宋体" w:hAnsi="宋体" w:cs="宋体"/>
                <w:kern w:val="0"/>
                <w:sz w:val="22"/>
              </w:rPr>
              <w:t>.强化政府公报数字化服务功能。按季度面向全区制发派送政府公报，发挥好政府公报权威发布和标准文本作用，有效拓宽数字公报传播应用渠道，推动政府规章、规范性文件通过政府公报统一刊登发布。</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38" w:type="pct"/>
            <w:vMerge w:val="restart"/>
            <w:noWrap w:val="0"/>
            <w:vAlign w:val="center"/>
          </w:tcPr>
          <w:p>
            <w:pPr>
              <w:jc w:val="left"/>
              <w:rPr>
                <w:rFonts w:ascii="宋体" w:hAnsi="宋体" w:cs="宋体"/>
                <w:kern w:val="0"/>
                <w:sz w:val="22"/>
              </w:rPr>
            </w:pPr>
            <w:r>
              <w:rPr>
                <w:rFonts w:hint="eastAsia" w:ascii="宋体" w:hAnsi="宋体" w:cs="宋体"/>
                <w:kern w:val="0"/>
                <w:sz w:val="22"/>
              </w:rPr>
              <w:t>三、优化政务公开服务方式</w:t>
            </w:r>
          </w:p>
          <w:p>
            <w:pPr>
              <w:jc w:val="left"/>
              <w:rPr>
                <w:rFonts w:ascii="宋体" w:hAnsi="宋体" w:cs="宋体"/>
                <w:kern w:val="0"/>
                <w:sz w:val="22"/>
              </w:rPr>
            </w:pPr>
          </w:p>
        </w:tc>
        <w:tc>
          <w:tcPr>
            <w:tcW w:w="463" w:type="pct"/>
            <w:noWrap w:val="0"/>
            <w:vAlign w:val="center"/>
          </w:tcPr>
          <w:p>
            <w:pPr>
              <w:widowControl/>
              <w:jc w:val="left"/>
              <w:rPr>
                <w:rFonts w:ascii="宋体" w:hAnsi="宋体" w:cs="宋体"/>
                <w:kern w:val="0"/>
                <w:sz w:val="22"/>
              </w:rPr>
            </w:pPr>
            <w:r>
              <w:rPr>
                <w:rFonts w:hint="eastAsia" w:ascii="宋体" w:hAnsi="宋体" w:cs="宋体"/>
                <w:kern w:val="0"/>
                <w:sz w:val="22"/>
              </w:rPr>
              <w:t>（一）强化政务公开平台智能集约</w:t>
            </w:r>
          </w:p>
          <w:p>
            <w:pPr>
              <w:widowControl/>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ascii="宋体" w:hAnsi="宋体" w:cs="宋体"/>
                <w:kern w:val="0"/>
                <w:sz w:val="22"/>
              </w:rPr>
              <w:t>29</w:t>
            </w:r>
            <w:r>
              <w:rPr>
                <w:rFonts w:hint="eastAsia" w:ascii="宋体" w:hAnsi="宋体" w:cs="宋体"/>
                <w:kern w:val="0"/>
                <w:sz w:val="22"/>
              </w:rPr>
              <w:t>.强化政务服务大厅政务公开专区建设，为基层群众提供政府信息网上查询、政府信息公开申请接收、政策咨询等服务。提高大厅政策咨询服务水平，设置政策咨询窗口，加强电话解答、现场解答等政策咨询渠道建设，更好解答就业、创业、养老、医疗、纳税等方面与人民群众切身利益密切相关的问题。</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38" w:type="pct"/>
            <w:vMerge w:val="continue"/>
            <w:noWrap w:val="0"/>
            <w:vAlign w:val="center"/>
          </w:tcPr>
          <w:p>
            <w:pPr>
              <w:jc w:val="left"/>
              <w:rPr>
                <w:rFonts w:ascii="宋体" w:hAnsi="宋体" w:cs="宋体"/>
                <w:kern w:val="0"/>
                <w:sz w:val="22"/>
              </w:rPr>
            </w:pPr>
          </w:p>
        </w:tc>
        <w:tc>
          <w:tcPr>
            <w:tcW w:w="463" w:type="pct"/>
            <w:vMerge w:val="restart"/>
            <w:noWrap w:val="0"/>
            <w:vAlign w:val="center"/>
          </w:tcPr>
          <w:p>
            <w:pPr>
              <w:widowControl/>
              <w:jc w:val="left"/>
              <w:rPr>
                <w:rFonts w:ascii="宋体" w:hAnsi="宋体" w:cs="宋体"/>
                <w:kern w:val="0"/>
                <w:sz w:val="22"/>
              </w:rPr>
            </w:pPr>
            <w:r>
              <w:rPr>
                <w:rFonts w:hint="eastAsia" w:ascii="宋体" w:hAnsi="宋体" w:cs="宋体"/>
                <w:kern w:val="0"/>
                <w:sz w:val="22"/>
              </w:rPr>
              <w:t>（二）优化政企政民互动渠道</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0</w:t>
            </w:r>
            <w:r>
              <w:rPr>
                <w:rFonts w:hint="eastAsia" w:ascii="宋体" w:hAnsi="宋体" w:cs="宋体"/>
                <w:kern w:val="0"/>
                <w:sz w:val="22"/>
              </w:rPr>
              <w:t>.常态化开展“政策公开讲”活动。围绕群众企业热点政策需求，政策制定部门每年至少开展一次“政策公开讲”活动，邀请政策制定人讲明讲透政策重点，制作简明扼要、轻松易懂的政策短视频，通过区政府门户网站专栏发布，供公众随时下载查看。</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p>
            <w:pPr>
              <w:jc w:val="center"/>
              <w:rPr>
                <w:rFonts w:ascii="宋体" w:hAnsi="宋体" w:cs="宋体"/>
                <w:kern w:val="0"/>
                <w:sz w:val="22"/>
              </w:rPr>
            </w:pPr>
            <w:r>
              <w:rPr>
                <w:rFonts w:hint="eastAsia" w:ascii="宋体" w:hAnsi="宋体" w:cs="宋体"/>
                <w:kern w:val="0"/>
                <w:sz w:val="22"/>
              </w:rPr>
              <w:t>区融媒体中心</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1</w:t>
            </w:r>
            <w:r>
              <w:rPr>
                <w:rFonts w:hint="eastAsia" w:ascii="宋体" w:hAnsi="宋体" w:cs="宋体"/>
                <w:kern w:val="0"/>
                <w:sz w:val="22"/>
              </w:rPr>
              <w:t>.多形式开展“政务开放日”“基层治理公开议事”等活动。鼓励通过线上线下多种形式，每年至少开展一次“政务开放日”“基层治理公开议事”等活动，活动设置答疑、座谈、问卷调查等环节，让公众体验政府工作、开展交流互动、收集意见建议，有序引导公众参与城市管理和基层治理。</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区融媒体中心、各街镇各部门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2</w:t>
            </w:r>
            <w:r>
              <w:rPr>
                <w:rFonts w:hint="eastAsia" w:ascii="宋体" w:hAnsi="宋体" w:cs="宋体"/>
                <w:kern w:val="0"/>
                <w:sz w:val="22"/>
              </w:rPr>
              <w:t>.强化政府对外联系电话监督管理。各单位每年至少开展一次政府对外联系电话清理工作，做好电话更新备案。在工作时段内，确保政府对外联系电话专人值守接听，一次接通率应高于90%，三次接通率应达到100%。未能当场解答的，要做好记录并在1个工作日内回拨。</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w:t>
            </w:r>
            <w:r>
              <w:rPr>
                <w:rFonts w:ascii="宋体" w:hAnsi="宋体" w:cs="宋体"/>
                <w:sz w:val="22"/>
              </w:rPr>
              <w:t>2</w:t>
            </w:r>
            <w:r>
              <w:rPr>
                <w:rFonts w:hint="eastAsia" w:ascii="宋体" w:hAnsi="宋体" w:cs="宋体"/>
                <w:sz w:val="22"/>
              </w:rPr>
              <w:t>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38" w:type="pct"/>
            <w:vMerge w:val="restart"/>
            <w:noWrap w:val="0"/>
            <w:vAlign w:val="center"/>
          </w:tcPr>
          <w:p>
            <w:pPr>
              <w:jc w:val="left"/>
              <w:rPr>
                <w:rFonts w:ascii="宋体" w:hAnsi="宋体" w:cs="宋体"/>
                <w:kern w:val="0"/>
                <w:sz w:val="22"/>
              </w:rPr>
            </w:pPr>
            <w:r>
              <w:rPr>
                <w:rFonts w:hint="eastAsia" w:ascii="宋体" w:hAnsi="宋体" w:cs="宋体"/>
                <w:kern w:val="0"/>
                <w:sz w:val="22"/>
              </w:rPr>
              <w:t>三、优化政务公开服务方式</w:t>
            </w:r>
          </w:p>
          <w:p>
            <w:pPr>
              <w:jc w:val="left"/>
              <w:rPr>
                <w:rFonts w:ascii="宋体" w:hAnsi="宋体" w:cs="宋体"/>
                <w:kern w:val="0"/>
                <w:sz w:val="22"/>
              </w:rPr>
            </w:pPr>
          </w:p>
        </w:tc>
        <w:tc>
          <w:tcPr>
            <w:tcW w:w="463" w:type="pct"/>
            <w:noWrap w:val="0"/>
            <w:vAlign w:val="center"/>
          </w:tcPr>
          <w:p>
            <w:pPr>
              <w:jc w:val="left"/>
              <w:rPr>
                <w:rFonts w:ascii="宋体" w:hAnsi="宋体" w:cs="宋体"/>
                <w:kern w:val="0"/>
                <w:sz w:val="22"/>
              </w:rPr>
            </w:pPr>
            <w:r>
              <w:rPr>
                <w:rFonts w:hint="eastAsia" w:ascii="宋体" w:hAnsi="宋体" w:cs="宋体"/>
                <w:kern w:val="0"/>
                <w:sz w:val="22"/>
              </w:rPr>
              <w:t>（二）优化政企政民互动渠道</w:t>
            </w:r>
          </w:p>
        </w:tc>
        <w:tc>
          <w:tcPr>
            <w:tcW w:w="1997" w:type="pct"/>
            <w:noWrap w:val="0"/>
            <w:vAlign w:val="center"/>
          </w:tcPr>
          <w:p>
            <w:pPr>
              <w:widowControl/>
              <w:jc w:val="left"/>
              <w:rPr>
                <w:rFonts w:hint="eastAsia" w:ascii="宋体" w:hAnsi="宋体" w:cs="宋体"/>
                <w:kern w:val="0"/>
                <w:sz w:val="22"/>
              </w:rPr>
            </w:pPr>
            <w:r>
              <w:rPr>
                <w:rFonts w:hint="eastAsia" w:ascii="宋体" w:hAnsi="宋体" w:cs="宋体"/>
                <w:kern w:val="0"/>
                <w:sz w:val="22"/>
              </w:rPr>
              <w:t>3</w:t>
            </w:r>
            <w:r>
              <w:rPr>
                <w:rFonts w:ascii="宋体" w:hAnsi="宋体" w:cs="宋体"/>
                <w:kern w:val="0"/>
                <w:sz w:val="22"/>
              </w:rPr>
              <w:t>3</w:t>
            </w:r>
            <w:r>
              <w:rPr>
                <w:rFonts w:hint="eastAsia" w:ascii="宋体" w:hAnsi="宋体" w:cs="宋体"/>
                <w:kern w:val="0"/>
                <w:sz w:val="22"/>
              </w:rPr>
              <w:t>.强化政务咨询渠道建设，配合做好12345市民服务热线、政府网站、政务服务平台政务知识库汇聚融合统一，更好满足公众个性化信息需求。</w:t>
            </w:r>
          </w:p>
        </w:tc>
        <w:tc>
          <w:tcPr>
            <w:tcW w:w="685" w:type="pct"/>
            <w:noWrap w:val="0"/>
            <w:vAlign w:val="center"/>
          </w:tcPr>
          <w:p>
            <w:pPr>
              <w:widowControl/>
              <w:jc w:val="center"/>
              <w:rPr>
                <w:rFonts w:hint="eastAsia" w:ascii="宋体" w:hAnsi="宋体" w:cs="宋体"/>
                <w:sz w:val="22"/>
              </w:rPr>
            </w:pPr>
            <w:r>
              <w:rPr>
                <w:rFonts w:hint="eastAsia" w:ascii="宋体" w:hAnsi="宋体" w:cs="宋体"/>
                <w:sz w:val="22"/>
              </w:rPr>
              <w:t>2024年10月</w:t>
            </w:r>
          </w:p>
        </w:tc>
        <w:tc>
          <w:tcPr>
            <w:tcW w:w="731" w:type="pct"/>
            <w:noWrap w:val="0"/>
            <w:vAlign w:val="center"/>
          </w:tcPr>
          <w:p>
            <w:pPr>
              <w:jc w:val="center"/>
              <w:rPr>
                <w:rFonts w:hint="eastAsia" w:ascii="宋体" w:hAnsi="宋体" w:cs="宋体"/>
                <w:kern w:val="0"/>
                <w:sz w:val="22"/>
              </w:rPr>
            </w:pPr>
            <w:r>
              <w:rPr>
                <w:rFonts w:hint="eastAsia" w:ascii="宋体" w:hAnsi="宋体" w:cs="宋体"/>
                <w:kern w:val="0"/>
                <w:sz w:val="22"/>
              </w:rPr>
              <w:t>区城管</w:t>
            </w:r>
            <w:r>
              <w:rPr>
                <w:rFonts w:ascii="宋体" w:hAnsi="宋体" w:cs="宋体"/>
                <w:kern w:val="0"/>
                <w:sz w:val="22"/>
              </w:rPr>
              <w:t>指挥中心、区数据局</w:t>
            </w:r>
            <w:r>
              <w:rPr>
                <w:rFonts w:hint="eastAsia" w:ascii="宋体" w:hAnsi="宋体" w:cs="宋体"/>
                <w:kern w:val="0"/>
                <w:sz w:val="22"/>
              </w:rPr>
              <w:t>、</w:t>
            </w:r>
            <w:r>
              <w:rPr>
                <w:rFonts w:ascii="宋体" w:hAnsi="宋体" w:cs="宋体"/>
                <w:kern w:val="0"/>
                <w:sz w:val="22"/>
              </w:rPr>
              <w:t>区融媒体中心</w:t>
            </w:r>
          </w:p>
        </w:tc>
        <w:tc>
          <w:tcPr>
            <w:tcW w:w="685" w:type="pct"/>
            <w:noWrap w:val="0"/>
            <w:vAlign w:val="center"/>
          </w:tcPr>
          <w:p>
            <w:pPr>
              <w:jc w:val="center"/>
              <w:rPr>
                <w:rFonts w:hint="eastAsia"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438" w:type="pct"/>
            <w:vMerge w:val="continue"/>
            <w:noWrap w:val="0"/>
            <w:vAlign w:val="center"/>
          </w:tcPr>
          <w:p>
            <w:pPr>
              <w:jc w:val="left"/>
              <w:rPr>
                <w:rFonts w:ascii="宋体" w:hAnsi="宋体" w:cs="宋体"/>
                <w:kern w:val="0"/>
                <w:sz w:val="22"/>
              </w:rPr>
            </w:pPr>
          </w:p>
        </w:tc>
        <w:tc>
          <w:tcPr>
            <w:tcW w:w="463" w:type="pct"/>
            <w:vMerge w:val="restart"/>
            <w:noWrap w:val="0"/>
            <w:vAlign w:val="center"/>
          </w:tcPr>
          <w:p>
            <w:pPr>
              <w:jc w:val="left"/>
              <w:rPr>
                <w:rFonts w:ascii="宋体" w:hAnsi="宋体" w:cs="宋体"/>
                <w:kern w:val="0"/>
                <w:sz w:val="22"/>
              </w:rPr>
            </w:pPr>
            <w:r>
              <w:rPr>
                <w:rFonts w:hint="eastAsia" w:ascii="宋体" w:hAnsi="宋体" w:cs="宋体"/>
                <w:kern w:val="0"/>
                <w:sz w:val="22"/>
              </w:rPr>
              <w:t>（三）规范政府信息公开程序标准</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34.严格执行政府信息公开制度。完善政府信息公开保密审查制度，对拟公开的政府信息依法依规严格做好保密审查，防止泄露国家秘密、工作秘密和敏感信息，防范数据汇聚引发泄密风险。</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35.规范设置政府信息公开专栏，及时、集中、规范发布法定主动公开内容。依法依规办理政府信息公开申请，确保申请渠道畅通，法定答复时限准确。提升政府信息公开在线服务水平，推广电子印章网页答复应用。加强政府信息公开复议、诉讼案件报备管理，强化业务统筹和案例指导，提升答复文书规范化水平，有效降低败诉、纠错率。</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2024年10月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438" w:type="pct"/>
            <w:vMerge w:val="continue"/>
            <w:noWrap w:val="0"/>
            <w:vAlign w:val="center"/>
          </w:tcPr>
          <w:p>
            <w:pPr>
              <w:jc w:val="left"/>
              <w:rPr>
                <w:rFonts w:ascii="宋体" w:hAnsi="宋体" w:cs="宋体"/>
                <w:kern w:val="0"/>
                <w:sz w:val="22"/>
              </w:rPr>
            </w:pPr>
          </w:p>
        </w:tc>
        <w:tc>
          <w:tcPr>
            <w:tcW w:w="463" w:type="pct"/>
            <w:vMerge w:val="continue"/>
            <w:noWrap w:val="0"/>
            <w:vAlign w:val="center"/>
          </w:tcPr>
          <w:p>
            <w:pPr>
              <w:jc w:val="left"/>
              <w:rPr>
                <w:rFonts w:ascii="宋体" w:hAnsi="宋体" w:cs="宋体"/>
                <w:kern w:val="0"/>
                <w:sz w:val="22"/>
              </w:rPr>
            </w:pPr>
          </w:p>
        </w:tc>
        <w:tc>
          <w:tcPr>
            <w:tcW w:w="1997" w:type="pct"/>
            <w:noWrap w:val="0"/>
            <w:vAlign w:val="center"/>
          </w:tcPr>
          <w:p>
            <w:pPr>
              <w:widowControl/>
              <w:jc w:val="left"/>
              <w:rPr>
                <w:rFonts w:hint="eastAsia" w:ascii="宋体" w:hAnsi="宋体" w:cs="宋体"/>
                <w:kern w:val="0"/>
                <w:sz w:val="22"/>
              </w:rPr>
            </w:pPr>
            <w:r>
              <w:rPr>
                <w:rFonts w:hint="eastAsia" w:ascii="宋体" w:hAnsi="宋体" w:cs="宋体"/>
                <w:kern w:val="0"/>
                <w:sz w:val="22"/>
              </w:rPr>
              <w:t>36.强化政务公开全清单管理。依据法律法规规章、行业主管部门关于信息公开工作的最新要求，及时更新本单位政务公开全清单。涉及机构改革的单位要对政务公开全清单做相应调整，确保清单事项完整。</w:t>
            </w:r>
          </w:p>
        </w:tc>
        <w:tc>
          <w:tcPr>
            <w:tcW w:w="685" w:type="pct"/>
            <w:noWrap w:val="0"/>
            <w:vAlign w:val="center"/>
          </w:tcPr>
          <w:p>
            <w:pPr>
              <w:widowControl/>
              <w:jc w:val="center"/>
              <w:rPr>
                <w:rFonts w:hint="eastAsia" w:ascii="宋体" w:hAnsi="宋体" w:cs="宋体"/>
                <w:sz w:val="22"/>
              </w:rPr>
            </w:pPr>
            <w:r>
              <w:rPr>
                <w:rFonts w:hint="eastAsia" w:ascii="宋体" w:hAnsi="宋体" w:cs="宋体"/>
                <w:sz w:val="22"/>
              </w:rPr>
              <w:t>2024年12月</w:t>
            </w:r>
          </w:p>
        </w:tc>
        <w:tc>
          <w:tcPr>
            <w:tcW w:w="731" w:type="pct"/>
            <w:noWrap w:val="0"/>
            <w:vAlign w:val="center"/>
          </w:tcPr>
          <w:p>
            <w:pPr>
              <w:jc w:val="center"/>
              <w:rPr>
                <w:rFonts w:hint="eastAsia" w:ascii="宋体" w:hAnsi="宋体" w:cs="宋体"/>
                <w:kern w:val="0"/>
                <w:sz w:val="22"/>
              </w:rPr>
            </w:pPr>
            <w:r>
              <w:rPr>
                <w:rFonts w:hint="eastAsia" w:ascii="宋体" w:hAnsi="宋体" w:cs="宋体"/>
                <w:kern w:val="0"/>
                <w:sz w:val="22"/>
              </w:rPr>
              <w:t>各街镇各部门</w:t>
            </w:r>
          </w:p>
        </w:tc>
        <w:tc>
          <w:tcPr>
            <w:tcW w:w="685" w:type="pct"/>
            <w:noWrap w:val="0"/>
            <w:vAlign w:val="center"/>
          </w:tcPr>
          <w:p>
            <w:pPr>
              <w:jc w:val="center"/>
              <w:rPr>
                <w:rFonts w:hint="eastAsia" w:ascii="宋体" w:hAnsi="宋体" w:cs="宋体"/>
                <w:kern w:val="0"/>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38" w:type="pct"/>
            <w:vMerge w:val="restart"/>
            <w:noWrap w:val="0"/>
            <w:vAlign w:val="center"/>
          </w:tcPr>
          <w:p>
            <w:pPr>
              <w:pBdr>
                <w:bottom w:val="single" w:color="FFFFFF" w:sz="4" w:space="10"/>
              </w:pBdr>
              <w:jc w:val="left"/>
              <w:rPr>
                <w:rFonts w:ascii="宋体" w:hAnsi="宋体" w:cs="宋体"/>
                <w:kern w:val="0"/>
                <w:sz w:val="22"/>
              </w:rPr>
            </w:pPr>
            <w:r>
              <w:rPr>
                <w:rFonts w:hint="eastAsia" w:ascii="宋体" w:hAnsi="宋体" w:cs="宋体"/>
                <w:kern w:val="0"/>
                <w:sz w:val="22"/>
              </w:rPr>
              <w:t>四、保障措施</w:t>
            </w:r>
          </w:p>
        </w:tc>
        <w:tc>
          <w:tcPr>
            <w:tcW w:w="463" w:type="pct"/>
            <w:noWrap w:val="0"/>
            <w:vAlign w:val="center"/>
          </w:tcPr>
          <w:p>
            <w:pPr>
              <w:jc w:val="left"/>
              <w:rPr>
                <w:rFonts w:ascii="宋体" w:hAnsi="宋体" w:cs="宋体"/>
                <w:kern w:val="0"/>
                <w:sz w:val="22"/>
              </w:rPr>
            </w:pPr>
            <w:r>
              <w:rPr>
                <w:rFonts w:hint="eastAsia" w:ascii="宋体" w:hAnsi="宋体" w:cs="宋体"/>
                <w:kern w:val="0"/>
                <w:sz w:val="22"/>
              </w:rPr>
              <w:t>（一）完善工作机制</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7</w:t>
            </w:r>
            <w:r>
              <w:rPr>
                <w:rFonts w:hint="eastAsia" w:ascii="宋体" w:hAnsi="宋体" w:cs="宋体"/>
                <w:kern w:val="0"/>
                <w:sz w:val="22"/>
              </w:rPr>
              <w:t>.完善工作机制。充分发挥本区政务公开议事协调机制作用，每年至少召开一次政务公开领导小组工作会，研究政务公开和政策服务工作，协调解决重点疑难问题。各单位要提高站位，将政务公开纳入重要议事日程，形成主要领导亲自抓，分管领导具体抓的工作机制，每年至少听取一次政务公开工作汇报，研究部署推进工作。</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2024年12月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38" w:type="pct"/>
            <w:vMerge w:val="continue"/>
            <w:noWrap w:val="0"/>
            <w:vAlign w:val="center"/>
          </w:tcPr>
          <w:p>
            <w:pPr>
              <w:pBdr>
                <w:bottom w:val="single" w:color="FFFFFF" w:sz="4" w:space="10"/>
              </w:pBdr>
              <w:jc w:val="left"/>
              <w:rPr>
                <w:rFonts w:ascii="宋体" w:hAnsi="宋体" w:cs="宋体"/>
                <w:kern w:val="0"/>
                <w:sz w:val="22"/>
              </w:rPr>
            </w:pPr>
          </w:p>
        </w:tc>
        <w:tc>
          <w:tcPr>
            <w:tcW w:w="463" w:type="pct"/>
            <w:noWrap w:val="0"/>
            <w:vAlign w:val="center"/>
          </w:tcPr>
          <w:p>
            <w:pPr>
              <w:jc w:val="left"/>
              <w:rPr>
                <w:rFonts w:ascii="宋体" w:hAnsi="宋体" w:cs="宋体"/>
                <w:kern w:val="0"/>
                <w:sz w:val="22"/>
              </w:rPr>
            </w:pPr>
            <w:r>
              <w:rPr>
                <w:rFonts w:hint="eastAsia" w:ascii="宋体" w:hAnsi="宋体" w:cs="宋体"/>
                <w:kern w:val="0"/>
                <w:sz w:val="22"/>
              </w:rPr>
              <w:t>（二）强化人员培训</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8</w:t>
            </w:r>
            <w:r>
              <w:rPr>
                <w:rFonts w:hint="eastAsia" w:ascii="宋体" w:hAnsi="宋体" w:cs="宋体"/>
                <w:kern w:val="0"/>
                <w:sz w:val="22"/>
              </w:rPr>
              <w:t>.强化人员培训。各单位明确由专人负责政务公开工作，加强业务培训，增强工作人员的公开意识，提高发布信息、解读政策、回应关切的能力。落实领导干部应知应会党内法规和国家法律清单制度要求，将学习政务公开有关行政法规作为领导干部培训基础课程和公务员初任培训必修课程，各单位要支持政务公开工作人员接受与工作有关的学习培训，全面提升政务公开工作水平。</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2024年12月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38" w:type="pct"/>
            <w:vMerge w:val="continue"/>
            <w:noWrap w:val="0"/>
            <w:vAlign w:val="center"/>
          </w:tcPr>
          <w:p>
            <w:pPr>
              <w:jc w:val="left"/>
              <w:rPr>
                <w:rFonts w:ascii="宋体" w:hAnsi="宋体" w:cs="宋体"/>
                <w:kern w:val="0"/>
                <w:sz w:val="22"/>
              </w:rPr>
            </w:pPr>
          </w:p>
        </w:tc>
        <w:tc>
          <w:tcPr>
            <w:tcW w:w="463" w:type="pct"/>
            <w:noWrap w:val="0"/>
            <w:vAlign w:val="center"/>
          </w:tcPr>
          <w:p>
            <w:pPr>
              <w:jc w:val="left"/>
              <w:rPr>
                <w:rFonts w:ascii="宋体" w:hAnsi="宋体" w:cs="宋体"/>
                <w:kern w:val="0"/>
                <w:sz w:val="22"/>
              </w:rPr>
            </w:pPr>
            <w:r>
              <w:rPr>
                <w:rFonts w:hint="eastAsia" w:ascii="宋体" w:hAnsi="宋体" w:cs="宋体"/>
                <w:kern w:val="0"/>
                <w:sz w:val="22"/>
              </w:rPr>
              <w:t>（三）加强监督考核</w:t>
            </w:r>
          </w:p>
        </w:tc>
        <w:tc>
          <w:tcPr>
            <w:tcW w:w="1997" w:type="pct"/>
            <w:noWrap w:val="0"/>
            <w:vAlign w:val="center"/>
          </w:tcPr>
          <w:p>
            <w:pPr>
              <w:widowControl/>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9</w:t>
            </w:r>
            <w:r>
              <w:rPr>
                <w:rFonts w:hint="eastAsia" w:ascii="宋体" w:hAnsi="宋体" w:cs="宋体"/>
                <w:kern w:val="0"/>
                <w:sz w:val="22"/>
              </w:rPr>
              <w:t>.加强监督考核。将政务公开工作纳入本区绩效考核体系，加大考核力度，对政务公开工作成绩突出的单位进行总结通报，对政务公开工作落实不到位的，予以通报并督促整改落实。推动政务公开重点任务落实情况公开，在区政府门户网站开设专题栏目，集中公开本区政务公开重点工作落实情况。</w:t>
            </w:r>
          </w:p>
        </w:tc>
        <w:tc>
          <w:tcPr>
            <w:tcW w:w="685" w:type="pct"/>
            <w:noWrap w:val="0"/>
            <w:vAlign w:val="center"/>
          </w:tcPr>
          <w:p>
            <w:pPr>
              <w:widowControl/>
              <w:jc w:val="center"/>
              <w:rPr>
                <w:rFonts w:ascii="宋体" w:hAnsi="宋体" w:cs="宋体"/>
                <w:sz w:val="22"/>
              </w:rPr>
            </w:pPr>
            <w:r>
              <w:rPr>
                <w:rFonts w:hint="eastAsia" w:ascii="宋体" w:hAnsi="宋体" w:cs="宋体"/>
                <w:sz w:val="22"/>
              </w:rPr>
              <w:t>2024年12月</w:t>
            </w:r>
          </w:p>
        </w:tc>
        <w:tc>
          <w:tcPr>
            <w:tcW w:w="731" w:type="pct"/>
            <w:noWrap w:val="0"/>
            <w:vAlign w:val="center"/>
          </w:tcPr>
          <w:p>
            <w:pPr>
              <w:jc w:val="center"/>
              <w:rPr>
                <w:rFonts w:ascii="宋体" w:hAnsi="宋体" w:cs="宋体"/>
                <w:kern w:val="0"/>
                <w:sz w:val="22"/>
              </w:rPr>
            </w:pPr>
            <w:r>
              <w:rPr>
                <w:rFonts w:hint="eastAsia" w:ascii="宋体" w:hAnsi="宋体" w:cs="宋体"/>
                <w:kern w:val="0"/>
                <w:sz w:val="22"/>
              </w:rPr>
              <w:t>区政务服务局</w:t>
            </w:r>
          </w:p>
        </w:tc>
        <w:tc>
          <w:tcPr>
            <w:tcW w:w="685" w:type="pct"/>
            <w:noWrap w:val="0"/>
            <w:vAlign w:val="center"/>
          </w:tcPr>
          <w:p>
            <w:pPr>
              <w:jc w:val="center"/>
              <w:rPr>
                <w:rFonts w:ascii="宋体" w:hAnsi="宋体" w:cs="宋体"/>
                <w:kern w:val="0"/>
                <w:sz w:val="22"/>
              </w:rPr>
            </w:pPr>
            <w:r>
              <w:rPr>
                <w:rFonts w:hint="eastAsia" w:ascii="宋体" w:hAnsi="宋体" w:cs="宋体"/>
                <w:kern w:val="0"/>
                <w:sz w:val="22"/>
              </w:rPr>
              <w:t>各街镇各部门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18650A-503F-4079-BD71-F4FE9BD68EE9}"/>
  </w:font>
  <w:font w:name="方正小标宋简体">
    <w:panose1 w:val="02000000000000000000"/>
    <w:charset w:val="86"/>
    <w:family w:val="script"/>
    <w:pitch w:val="default"/>
    <w:sig w:usb0="00000001" w:usb1="08000000" w:usb2="00000000" w:usb3="00000000" w:csb0="00040000" w:csb1="00000000"/>
    <w:embedRegular r:id="rId2" w:fontKey="{E1FA38CB-6E94-4DFF-8C5C-8FDE20EC307E}"/>
  </w:font>
  <w:font w:name="CESI小标宋-GB2312">
    <w:altName w:val="Microsoft YaHei UI"/>
    <w:panose1 w:val="00000000000000000000"/>
    <w:charset w:val="86"/>
    <w:family w:val="auto"/>
    <w:pitch w:val="default"/>
    <w:sig w:usb0="00000000" w:usb1="00000000" w:usb2="00000010" w:usb3="00000000" w:csb0="0004000F" w:csb1="00000000"/>
    <w:embedRegular r:id="rId3" w:fontKey="{0DDE749C-B729-4E69-8FCB-BAF1EE94DB71}"/>
  </w:font>
  <w:font w:name="仿宋_GB2312">
    <w:altName w:val="仿宋"/>
    <w:panose1 w:val="02010609030101010101"/>
    <w:charset w:val="86"/>
    <w:family w:val="modern"/>
    <w:pitch w:val="default"/>
    <w:sig w:usb0="00000000" w:usb1="00000000" w:usb2="00000010" w:usb3="00000000" w:csb0="00040000" w:csb1="00000000"/>
    <w:embedRegular r:id="rId4" w:fontKey="{4E753F62-4C23-4236-A5E4-98699CEB412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000000"/>
    <w:rsid w:val="10FA2DD1"/>
    <w:rsid w:val="289101EC"/>
    <w:rsid w:val="5089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ascii="Calibri" w:hAnsi="Calibri" w:eastAsia="宋体" w:cs="Times New Roman"/>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413" w:lineRule="auto"/>
      <w:ind w:firstLine="420" w:firstLineChars="200"/>
      <w:outlineLvl w:val="1"/>
    </w:pPr>
    <w:rPr>
      <w:rFonts w:ascii="Arial" w:hAnsi="Arial" w:eastAsia="黑体" w:cs="Times New Roman"/>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2023-11-02T01:51:00Z</dcterms:created>
  <dc:creator>lenovo</dc:creator>
  <cp:lastModifiedBy>学知言</cp:lastModifiedBy>
  <dcterms:modified xsi:type="dcterms:W3CDTF">2024-05-22T10:04:50Z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47B8FAABD1AF4814A249DECE118E9D7F_12</vt:lpwstr>
  </property>
</Properties>
</file>