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32"/>
          <w:szCs w:val="32"/>
        </w:rPr>
      </w:pPr>
      <w:r>
        <w:rPr>
          <w:rFonts w:hint="eastAsia" w:ascii="宋体" w:hAnsi="宋体" w:cs="宋体"/>
          <w:sz w:val="32"/>
          <w:szCs w:val="32"/>
        </w:rPr>
        <w:t>《粮油仓储管理办法》</w:t>
      </w:r>
    </w:p>
    <w:tbl>
      <w:tblPr>
        <w:tblStyle w:val="5"/>
        <w:tblW w:w="5330" w:type="pct"/>
        <w:tblInd w:w="-4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9"/>
        <w:gridCol w:w="1431"/>
        <w:gridCol w:w="1902"/>
        <w:gridCol w:w="1331"/>
        <w:gridCol w:w="1343"/>
        <w:gridCol w:w="2720"/>
        <w:gridCol w:w="2574"/>
        <w:gridCol w:w="1031"/>
        <w:gridCol w:w="3"/>
        <w:gridCol w:w="1029"/>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Header/>
        </w:trPr>
        <w:tc>
          <w:tcPr>
            <w:tcW w:w="15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序</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号</w:t>
            </w:r>
          </w:p>
        </w:tc>
        <w:tc>
          <w:tcPr>
            <w:tcW w:w="47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裁量权</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基准编码</w:t>
            </w:r>
          </w:p>
        </w:tc>
        <w:tc>
          <w:tcPr>
            <w:tcW w:w="629"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违法行为名称</w:t>
            </w:r>
          </w:p>
        </w:tc>
        <w:tc>
          <w:tcPr>
            <w:tcW w:w="88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法律依据</w:t>
            </w:r>
          </w:p>
        </w:tc>
        <w:tc>
          <w:tcPr>
            <w:tcW w:w="90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具体违法情节</w:t>
            </w:r>
          </w:p>
        </w:tc>
        <w:tc>
          <w:tcPr>
            <w:tcW w:w="851"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处罚裁量权基准</w:t>
            </w:r>
          </w:p>
        </w:tc>
        <w:tc>
          <w:tcPr>
            <w:tcW w:w="34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行为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分类</w:t>
            </w:r>
          </w:p>
        </w:tc>
        <w:tc>
          <w:tcPr>
            <w:tcW w:w="341"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期限</w:t>
            </w:r>
          </w:p>
        </w:tc>
        <w:tc>
          <w:tcPr>
            <w:tcW w:w="42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可以申请缩短</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blHeader/>
        </w:trPr>
        <w:tc>
          <w:tcPr>
            <w:tcW w:w="151" w:type="pct"/>
            <w:vMerge w:val="continue"/>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473" w:type="pct"/>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629" w:type="pct"/>
            <w:vMerge w:val="continue"/>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18"/>
                <w:szCs w:val="18"/>
                <w:u w:val="none"/>
              </w:rPr>
            </w:pPr>
          </w:p>
        </w:tc>
        <w:tc>
          <w:tcPr>
            <w:tcW w:w="440"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依据</w:t>
            </w:r>
          </w:p>
        </w:tc>
        <w:tc>
          <w:tcPr>
            <w:tcW w:w="444" w:type="pc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处罚依据</w:t>
            </w:r>
          </w:p>
        </w:tc>
        <w:tc>
          <w:tcPr>
            <w:tcW w:w="900" w:type="pct"/>
            <w:vMerge w:val="continue"/>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18"/>
                <w:szCs w:val="18"/>
                <w:u w:val="none"/>
              </w:rPr>
            </w:pPr>
          </w:p>
        </w:tc>
        <w:tc>
          <w:tcPr>
            <w:tcW w:w="851" w:type="pct"/>
            <w:vMerge w:val="continue"/>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18"/>
                <w:szCs w:val="18"/>
                <w:u w:val="none"/>
              </w:rPr>
            </w:pPr>
          </w:p>
        </w:tc>
        <w:tc>
          <w:tcPr>
            <w:tcW w:w="341" w:type="pct"/>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341" w:type="pct"/>
            <w:gridSpan w:val="2"/>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425" w:type="pct"/>
            <w:vMerge w:val="continue"/>
            <w:tcBorders>
              <w:top w:val="single" w:color="auto" w:sz="4" w:space="0"/>
              <w:left w:val="single" w:color="000000" w:sz="4" w:space="0"/>
              <w:bottom w:val="single" w:color="000000" w:sz="4" w:space="0"/>
              <w:right w:val="single" w:color="auto"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3"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C2601900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C010</w:t>
            </w:r>
          </w:p>
        </w:tc>
        <w:tc>
          <w:tcPr>
            <w:tcW w:w="629"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粮油仓储单位未在规定时间向粮食行政管理部门备案的行为。</w:t>
            </w:r>
          </w:p>
        </w:tc>
        <w:tc>
          <w:tcPr>
            <w:tcW w:w="440"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《粮油仓储管理办法》第六条</w:t>
            </w:r>
          </w:p>
        </w:tc>
        <w:tc>
          <w:tcPr>
            <w:tcW w:w="444"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《粮油仓储管理办法》第二十八条</w:t>
            </w:r>
          </w:p>
        </w:tc>
        <w:tc>
          <w:tcPr>
            <w:tcW w:w="90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粮油仓储单位未在规定时间向粮食行政管理部门备案的。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不纳入</w:t>
            </w:r>
          </w:p>
        </w:tc>
        <w:tc>
          <w:tcPr>
            <w:tcW w:w="34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不公示</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C2601900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C020</w:t>
            </w:r>
          </w:p>
        </w:tc>
        <w:tc>
          <w:tcPr>
            <w:tcW w:w="629" w:type="pct"/>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处1万元以下罚款。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一般  </w:t>
            </w:r>
          </w:p>
        </w:tc>
        <w:tc>
          <w:tcPr>
            <w:tcW w:w="34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C2602000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C010</w:t>
            </w:r>
          </w:p>
        </w:tc>
        <w:tc>
          <w:tcPr>
            <w:tcW w:w="6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粮油仓储单位备案内容弄虚作假的行为。</w:t>
            </w:r>
          </w:p>
        </w:tc>
        <w:tc>
          <w:tcPr>
            <w:tcW w:w="440"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《粮油仓储管理办法》第六条</w:t>
            </w:r>
          </w:p>
        </w:tc>
        <w:tc>
          <w:tcPr>
            <w:tcW w:w="444"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《粮油仓储管理办法》第二十八条</w:t>
            </w: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粮油仓储单位备案内容弄虚作假的。</w:t>
            </w:r>
          </w:p>
        </w:tc>
        <w:tc>
          <w:tcPr>
            <w:tcW w:w="851"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341"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不纳入</w:t>
            </w:r>
          </w:p>
        </w:tc>
        <w:tc>
          <w:tcPr>
            <w:tcW w:w="341" w:type="pct"/>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不公示</w:t>
            </w:r>
          </w:p>
        </w:tc>
        <w:tc>
          <w:tcPr>
            <w:tcW w:w="425"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C2602000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C020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处1万元以下罚款。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一般  </w:t>
            </w:r>
          </w:p>
        </w:tc>
        <w:tc>
          <w:tcPr>
            <w:tcW w:w="34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2"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C2602100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B010</w:t>
            </w:r>
          </w:p>
        </w:tc>
        <w:tc>
          <w:tcPr>
            <w:tcW w:w="6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粮油仓储单位未拥有固定经营场地，或者不</w:t>
            </w:r>
            <w:r>
              <w:rPr>
                <w:rFonts w:hint="eastAsia" w:ascii="宋体" w:hAnsi="宋体" w:eastAsia="宋体" w:cs="宋体"/>
                <w:i w:val="0"/>
                <w:color w:val="000000"/>
                <w:kern w:val="0"/>
                <w:sz w:val="21"/>
                <w:szCs w:val="21"/>
                <w:highlight w:val="none"/>
                <w:u w:val="none"/>
                <w:lang w:val="en-US" w:eastAsia="zh-CN" w:bidi="ar"/>
              </w:rPr>
              <w:t>符合</w:t>
            </w:r>
            <w:r>
              <w:rPr>
                <w:rFonts w:hint="eastAsia" w:ascii="宋体" w:hAnsi="宋体" w:eastAsia="宋体" w:cs="宋体"/>
                <w:i w:val="0"/>
                <w:color w:val="000000"/>
                <w:kern w:val="0"/>
                <w:sz w:val="21"/>
                <w:szCs w:val="21"/>
                <w:u w:val="none"/>
                <w:lang w:val="en-US" w:eastAsia="zh-CN" w:bidi="ar"/>
              </w:rPr>
              <w:t>《粮油仓储管理办法》有关污染源、危险源安全距离的规定的行为。</w:t>
            </w:r>
          </w:p>
        </w:tc>
        <w:tc>
          <w:tcPr>
            <w:tcW w:w="44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《粮油仓储管理办法》第七条第（一）项</w:t>
            </w:r>
          </w:p>
        </w:tc>
        <w:tc>
          <w:tcPr>
            <w:tcW w:w="4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《粮油仓储管理办法》第二十九条</w:t>
            </w: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粮油仓储单位不具备固定经营场地，或者不符合《粮油仓储管理办法》有关污染源、危险源安全距离规定的。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7"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C2602100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B020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粮油仓储单位不符合《粮油仓储管理办法》有关污染源、危险源安全距离的规定，责令改正，拒不改正的。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处1万元以上2万元以下罚款。</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3"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C2602100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B030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粮油仓储单位不具备固定经营场地，责令改正，拒不改正的。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处2万元以上3万元以下罚款。</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3"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C2602200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B010</w:t>
            </w:r>
          </w:p>
        </w:tc>
        <w:tc>
          <w:tcPr>
            <w:tcW w:w="6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粮油仓储单位未拥有与从事粮油仓储活动相适应的设施设备，</w:t>
            </w:r>
            <w:r>
              <w:rPr>
                <w:rFonts w:hint="eastAsia" w:ascii="宋体" w:hAnsi="宋体" w:eastAsia="宋体" w:cs="宋体"/>
                <w:i w:val="0"/>
                <w:color w:val="000000"/>
                <w:kern w:val="0"/>
                <w:sz w:val="21"/>
                <w:szCs w:val="21"/>
                <w:highlight w:val="none"/>
                <w:u w:val="none"/>
                <w:lang w:val="en-US" w:eastAsia="zh-CN" w:bidi="ar"/>
              </w:rPr>
              <w:t>或者不符合</w:t>
            </w:r>
            <w:r>
              <w:rPr>
                <w:rFonts w:hint="eastAsia" w:ascii="宋体" w:hAnsi="宋体" w:eastAsia="宋体" w:cs="宋体"/>
                <w:i w:val="0"/>
                <w:color w:val="000000"/>
                <w:kern w:val="0"/>
                <w:sz w:val="21"/>
                <w:szCs w:val="21"/>
                <w:u w:val="none"/>
                <w:lang w:val="en-US" w:eastAsia="zh-CN" w:bidi="ar"/>
              </w:rPr>
              <w:t>粮油储藏技术规范的要求的行为。</w:t>
            </w:r>
          </w:p>
        </w:tc>
        <w:tc>
          <w:tcPr>
            <w:tcW w:w="44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《粮油仓储管理办法》第七条第（二）项</w:t>
            </w:r>
          </w:p>
        </w:tc>
        <w:tc>
          <w:tcPr>
            <w:tcW w:w="4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《粮油仓储管理办法》第二十九条</w:t>
            </w: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粮油仓储单位不具备与从事粮油仓储活动相适应的设施设备，或者不符合粮油储藏技术规范要求的。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C2602200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B020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粮油仓储单位从事粮油仓储活动的设施设备不符合粮油储藏技术规范的要求，责令改正，拒不改正的。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处1万元以上2万元以下罚款。</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C2602200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B030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粮油仓储单位不具备与从事粮油仓储活动相适应的设施设备的，责令改正，拒不改正的。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处2万元以上3万元以下罚款。</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32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C2602300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B010</w:t>
            </w:r>
          </w:p>
        </w:tc>
        <w:tc>
          <w:tcPr>
            <w:tcW w:w="6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粮油仓储单位未拥有相应的专业技术管理人员的行为。</w:t>
            </w:r>
          </w:p>
        </w:tc>
        <w:tc>
          <w:tcPr>
            <w:tcW w:w="44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《粮油仓储管理办法》第七条第（三）项</w:t>
            </w:r>
          </w:p>
        </w:tc>
        <w:tc>
          <w:tcPr>
            <w:tcW w:w="4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《粮油仓储管理办法》第二十九条</w:t>
            </w: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粮油仓储单位未拥有相应的专业技术管理人员的。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8"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C2602300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B020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责令改正，拒不改正，且粮油仓储单位实际拥有的专业技术管理人员人数占规定人数50%以上的。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处1万元以上2万元以下罚款。</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C2602300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B030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责令改正，拒不改正，且粮油仓储单位实际拥有的专业技术管理人员人数占规定人数50%以下的。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处2万元以上3万元以下罚款。</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1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C2602400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B000</w:t>
            </w:r>
          </w:p>
        </w:tc>
        <w:tc>
          <w:tcPr>
            <w:tcW w:w="6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未经国家粮食行政管理部门批准，粮油仓储单位名称中使用“国家储备粮”和“中央储备粮”字样的行为。</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《粮油仓储管理办法》第八条</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《粮油仓储管理办法》第三十条</w:t>
            </w: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未经国家粮食行政管理部门批准，粮油仓储单位名称中使用“国家储备粮”和“中央储备粮”字样的。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B010</w:t>
            </w:r>
          </w:p>
        </w:tc>
        <w:tc>
          <w:tcPr>
            <w:tcW w:w="6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粮油仓储单位违反《粮油仓储管理办法》有关粮油出入库、储存等管理规定的行为。</w:t>
            </w:r>
          </w:p>
        </w:tc>
        <w:tc>
          <w:tcPr>
            <w:tcW w:w="440"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《粮油仓储管理办法》第三十一条</w:t>
            </w:r>
          </w:p>
        </w:tc>
        <w:tc>
          <w:tcPr>
            <w:tcW w:w="4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《粮油仓储管理办法》第三十一条</w:t>
            </w: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粮油仓储单位违反《粮油仓储管理办法》有关粮油出入库、储存等管理规定的。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责令改正，给予警告。造成粮油储存事故或者安全生产事故的，按照有关法律法规和国家有关规定给予处罚。</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8"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B020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粮油仓储单位违反《粮油仓储管理办法》第十一条、第十五条、第十七条、第十九条、第二十二条，情节严重的，或经警告后仍不改正的。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责令改正，给予警告，可以并处1万元以下罚款；造成粮油储存事故或者安全生产事故的，按照有关法律法规和国家有关规定给予处罚。</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3"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B030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粮油仓储单位违反《粮油仓储管理办法》第九条、第十条、第十二条、第十三条、第十六条、第十八条、第二十三条、第二十四条，情节严重的，或经警告后仍不改正的。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责令改正，给予警告，可以并处1万元以上2万元以下罚款；造成粮油储存事故或者安全生产事故的，按照有关法律法规和国家有关规定给予处罚。</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B040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粮油仓储单位违反《粮油仓储管理办法》第十四条、第二十五条、第二十六条、第二十七条，情节严重的，或经警告后仍不改正的。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责令改正，给予警告，可以并处2万元以上3万元以下罚款；造成粮油储存事故或者安全生产事故的，按照有关法律法规和国家有关规定给予处罚。</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3-6个月</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000000"/>
    <w:rsid w:val="10FA2DD1"/>
    <w:rsid w:val="289101EC"/>
    <w:rsid w:val="3D976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576" w:lineRule="auto"/>
      <w:outlineLvl w:val="0"/>
    </w:pPr>
    <w:rPr>
      <w:rFonts w:ascii="Calibri" w:hAnsi="Calibri" w:eastAsia="宋体" w:cs="Times New Roman"/>
      <w:b/>
      <w:kern w:val="44"/>
      <w:sz w:val="32"/>
    </w:rPr>
  </w:style>
  <w:style w:type="paragraph" w:styleId="4">
    <w:name w:val="heading 2"/>
    <w:basedOn w:val="1"/>
    <w:next w:val="1"/>
    <w:semiHidden/>
    <w:unhideWhenUsed/>
    <w:qFormat/>
    <w:uiPriority w:val="0"/>
    <w:pPr>
      <w:keepNext/>
      <w:keepLines/>
      <w:spacing w:beforeLines="0" w:beforeAutospacing="0" w:afterLines="0" w:afterAutospacing="0" w:line="413" w:lineRule="auto"/>
      <w:ind w:firstLine="420" w:firstLineChars="200"/>
      <w:outlineLvl w:val="1"/>
    </w:pPr>
    <w:rPr>
      <w:rFonts w:ascii="Arial" w:hAnsi="Arial" w:eastAsia="黑体" w:cs="Times New Roman"/>
      <w:b/>
      <w:sz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semiHidden/>
    <w:qFormat/>
    <w:uiPriority w:val="0"/>
    <w:pPr>
      <w:spacing w:after="120"/>
      <w:ind w:left="420" w:leftChars="200" w:firstLine="420" w:firstLineChars="200"/>
      <w:jc w:val="both"/>
      <w:textAlignment w:val="baseline"/>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2023-11-02T01:51:00Z</dcterms:created>
  <dc:creator>lenovo</dc:creator>
  <cp:lastModifiedBy>学知言</cp:lastModifiedBy>
  <dcterms:modified xsi:type="dcterms:W3CDTF">2024-05-22T08:30:19Z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47B8FAABD1AF4814A249DECE118E9D7F_12</vt:lpwstr>
  </property>
</Properties>
</file>