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Times New Roman" w:eastAsiaTheme="minorEastAsia"/>
          <w:sz w:val="32"/>
          <w:szCs w:val="32"/>
          <w:lang w:eastAsia="zh-CN"/>
        </w:rPr>
      </w:pPr>
      <w:r>
        <w:rPr>
          <w:rFonts w:hint="eastAsia" w:ascii="宋体" w:hAnsi="宋体" w:cs="宋体"/>
          <w:sz w:val="32"/>
          <w:szCs w:val="32"/>
        </w:rPr>
        <w:t>《粮食流通管理条例》</w:t>
      </w:r>
      <w:r>
        <w:rPr>
          <w:rFonts w:hint="eastAsia" w:ascii="宋体" w:hAnsi="宋体" w:cs="宋体"/>
          <w:sz w:val="32"/>
          <w:szCs w:val="32"/>
          <w:lang w:eastAsia="zh-CN"/>
        </w:rPr>
        <w:t>《粮食质量安全监管办法》</w:t>
      </w:r>
    </w:p>
    <w:tbl>
      <w:tblPr>
        <w:tblStyle w:val="5"/>
        <w:tblW w:w="5345"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1341"/>
        <w:gridCol w:w="1257"/>
        <w:gridCol w:w="1140"/>
        <w:gridCol w:w="1185"/>
        <w:gridCol w:w="3650"/>
        <w:gridCol w:w="3087"/>
        <w:gridCol w:w="867"/>
        <w:gridCol w:w="96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51" w:type="pct"/>
            <w:vMerge w:val="restart"/>
            <w:tcBorders>
              <w:top w:val="single" w:color="auto"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42"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41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767" w:type="pct"/>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120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018"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286"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行为分类</w:t>
            </w:r>
          </w:p>
        </w:tc>
        <w:tc>
          <w:tcPr>
            <w:tcW w:w="319"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5"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trPr>
        <w:tc>
          <w:tcPr>
            <w:tcW w:w="151" w:type="pct"/>
            <w:vMerge w:val="continue"/>
            <w:tcBorders>
              <w:top w:val="nil"/>
              <w:left w:val="single" w:color="000000" w:sz="4" w:space="0"/>
              <w:bottom w:val="single" w:color="auto" w:sz="4" w:space="0"/>
              <w:right w:val="nil"/>
            </w:tcBorders>
            <w:noWrap w:val="0"/>
            <w:vAlign w:val="center"/>
          </w:tcPr>
          <w:p>
            <w:pPr>
              <w:jc w:val="center"/>
              <w:rPr>
                <w:rFonts w:hint="eastAsia" w:ascii="宋体" w:hAnsi="宋体" w:eastAsia="宋体" w:cs="宋体"/>
                <w:b/>
                <w:i w:val="0"/>
                <w:color w:val="000000"/>
                <w:sz w:val="21"/>
                <w:szCs w:val="21"/>
                <w:u w:val="none"/>
              </w:rPr>
            </w:pPr>
          </w:p>
        </w:tc>
        <w:tc>
          <w:tcPr>
            <w:tcW w:w="442"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14" w:type="pct"/>
            <w:vMerge w:val="continue"/>
            <w:tcBorders>
              <w:top w:val="nil"/>
              <w:left w:val="single" w:color="000000"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3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1204" w:type="pct"/>
            <w:vMerge w:val="continue"/>
            <w:tcBorders>
              <w:top w:val="nil"/>
              <w:left w:val="single" w:color="auto"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018" w:type="pct"/>
            <w:vMerge w:val="continue"/>
            <w:tcBorders>
              <w:top w:val="nil"/>
              <w:left w:val="single" w:color="000000"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286"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5"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w:t>
            </w:r>
            <w:r>
              <w:rPr>
                <w:rFonts w:hint="eastAsia" w:ascii="宋体" w:hAnsi="宋体" w:eastAsia="宋体" w:cs="宋体"/>
                <w:i w:val="0"/>
                <w:color w:val="000000"/>
                <w:spacing w:val="-20"/>
                <w:kern w:val="0"/>
                <w:sz w:val="21"/>
                <w:szCs w:val="21"/>
                <w:u w:val="none"/>
                <w:lang w:val="en-US" w:eastAsia="zh-CN" w:bidi="ar"/>
              </w:rPr>
              <w:t>案</w:t>
            </w:r>
            <w:r>
              <w:rPr>
                <w:rFonts w:hint="eastAsia" w:ascii="宋体" w:hAnsi="宋体" w:eastAsia="宋体" w:cs="宋体"/>
                <w:i w:val="0"/>
                <w:color w:val="000000"/>
                <w:spacing w:val="0"/>
                <w:kern w:val="0"/>
                <w:sz w:val="21"/>
                <w:szCs w:val="21"/>
                <w:u w:val="none"/>
                <w:lang w:val="en-US" w:eastAsia="zh-CN" w:bidi="ar"/>
              </w:rPr>
              <w:t>信息的行为。</w:t>
            </w:r>
          </w:p>
        </w:tc>
        <w:tc>
          <w:tcPr>
            <w:tcW w:w="3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《粮食流通管理条例》第九条第二款</w:t>
            </w:r>
          </w:p>
        </w:tc>
        <w:tc>
          <w:tcPr>
            <w:tcW w:w="3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《粮食流通管理条例》第四十三条</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粮食收购企业未按照规定备案或者提供虚假备案信息的。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7" w:hRule="atLeast"/>
        </w:trPr>
        <w:tc>
          <w:tcPr>
            <w:tcW w:w="15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41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处2万元以上5万元以下罚款。</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51"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《粮食流通管理条例》第十一条第一款、《粮食质量安全监管办法》第十三条</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《粮食流通管理条例》第四十五条第（一）项、第五十一条、《粮食质量安全监管办法》第四十六条</w:t>
            </w: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粮食收购者未执行国家粮食质量标准，情节</w:t>
            </w:r>
            <w:r>
              <w:rPr>
                <w:rFonts w:hint="eastAsia" w:ascii="宋体" w:hAnsi="宋体" w:cs="宋体"/>
                <w:i w:val="0"/>
                <w:color w:val="000000"/>
                <w:kern w:val="0"/>
                <w:sz w:val="21"/>
                <w:szCs w:val="21"/>
                <w:u w:val="none"/>
                <w:lang w:val="en-US" w:eastAsia="zh-CN" w:bidi="ar"/>
              </w:rPr>
              <w:t>较轻</w:t>
            </w:r>
            <w:r>
              <w:rPr>
                <w:rFonts w:hint="eastAsia" w:ascii="宋体" w:hAnsi="宋体" w:eastAsia="宋体" w:cs="宋体"/>
                <w:i w:val="0"/>
                <w:color w:val="000000"/>
                <w:kern w:val="0"/>
                <w:sz w:val="21"/>
                <w:szCs w:val="21"/>
                <w:u w:val="none"/>
                <w:lang w:val="en-US" w:eastAsia="zh-CN" w:bidi="ar"/>
              </w:rPr>
              <w:t>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w:t>
            </w:r>
            <w:r>
              <w:rPr>
                <w:rFonts w:hint="eastAsia" w:ascii="宋体" w:hAnsi="宋体" w:eastAsia="宋体" w:cs="宋体"/>
                <w:i w:val="0"/>
                <w:color w:val="000000"/>
                <w:w w:val="100"/>
                <w:kern w:val="0"/>
                <w:sz w:val="21"/>
                <w:szCs w:val="21"/>
                <w:u w:val="none"/>
                <w:lang w:val="en-US" w:eastAsia="zh-CN" w:bidi="ar"/>
              </w:rPr>
              <w:t>益受到损害20万元以下的。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造成售粮农民或其他粮食生产者的利益受到损害20万元以上35万元以下的。</w:t>
            </w:r>
          </w:p>
          <w:p>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w:t>
            </w:r>
            <w:r>
              <w:rPr>
                <w:rFonts w:hint="eastAsia" w:ascii="宋体" w:hAnsi="宋体" w:eastAsia="宋体" w:cs="宋体"/>
                <w:i w:val="0"/>
                <w:color w:val="000000"/>
                <w:spacing w:val="0"/>
                <w:w w:val="100"/>
                <w:kern w:val="0"/>
                <w:sz w:val="21"/>
                <w:szCs w:val="21"/>
                <w:u w:val="none"/>
                <w:lang w:val="en-US" w:eastAsia="zh-CN" w:bidi="ar"/>
              </w:rPr>
              <w:t>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造成售粮农民或其他粮食生产者的利益受到损害35万元以上的。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w:t>
            </w:r>
            <w:r>
              <w:rPr>
                <w:rFonts w:hint="eastAsia" w:ascii="宋体" w:hAnsi="宋体" w:eastAsia="宋体" w:cs="宋体"/>
                <w:i w:val="0"/>
                <w:color w:val="000000"/>
                <w:w w:val="100"/>
                <w:kern w:val="0"/>
                <w:sz w:val="21"/>
                <w:szCs w:val="21"/>
                <w:u w:val="none"/>
                <w:lang w:val="en-US" w:eastAsia="zh-CN" w:bidi="ar"/>
              </w:rPr>
              <w:t>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51"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粮食收购者未及时向售粮者支付售粮款的行为。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欠付一个月以下的。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51" w:type="pct"/>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一个月以上二个月</w:t>
            </w:r>
            <w:r>
              <w:rPr>
                <w:rFonts w:hint="eastAsia" w:ascii="宋体" w:hAnsi="宋体" w:eastAsia="宋体" w:cs="宋体"/>
                <w:i w:val="0"/>
                <w:color w:val="000000"/>
                <w:kern w:val="0"/>
                <w:sz w:val="21"/>
                <w:szCs w:val="21"/>
                <w:u w:val="none"/>
                <w:lang w:val="en-US" w:eastAsia="zh-CN" w:bidi="ar"/>
              </w:rPr>
              <w:t>以下</w:t>
            </w:r>
            <w:r>
              <w:rPr>
                <w:rFonts w:hint="eastAsia" w:ascii="宋体" w:hAnsi="宋体" w:cs="宋体"/>
                <w:i w:val="0"/>
                <w:color w:val="000000"/>
                <w:kern w:val="0"/>
                <w:sz w:val="21"/>
                <w:szCs w:val="21"/>
                <w:u w:val="none"/>
                <w:lang w:val="en-US" w:eastAsia="zh-CN" w:bidi="ar"/>
              </w:rPr>
              <w:t>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欠付20万元以下的。</w:t>
            </w:r>
          </w:p>
        </w:tc>
        <w:tc>
          <w:tcPr>
            <w:tcW w:w="10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1"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二个月</w:t>
            </w:r>
            <w:r>
              <w:rPr>
                <w:rFonts w:hint="eastAsia" w:ascii="宋体" w:hAnsi="宋体" w:eastAsia="宋体" w:cs="宋体"/>
                <w:i w:val="0"/>
                <w:color w:val="000000"/>
                <w:kern w:val="0"/>
                <w:sz w:val="21"/>
                <w:szCs w:val="21"/>
                <w:u w:val="none"/>
                <w:lang w:val="en-US" w:eastAsia="zh-CN" w:bidi="ar"/>
              </w:rPr>
              <w:t>以上</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欠付20万元以上35万元以下的。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auto"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欠付35万元以上的。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iCs/>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粮食收购者违反《粮食流通管理条例》规定代扣、代缴税、费和其他款项的行为</w:t>
            </w:r>
            <w:r>
              <w:rPr>
                <w:rFonts w:hint="eastAsia" w:ascii="宋体" w:hAnsi="宋体" w:cs="宋体"/>
                <w:i w:val="0"/>
                <w:color w:val="000000"/>
                <w:kern w:val="0"/>
                <w:sz w:val="21"/>
                <w:szCs w:val="21"/>
                <w:u w:val="none"/>
                <w:lang w:val="en-US" w:eastAsia="zh-CN" w:bidi="ar"/>
              </w:rPr>
              <w:t>。</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代扣、代缴税、费和其他款项20万元以上35万元以下的。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代扣、代缴税、费和其他款项35万元以上的。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从事粮食收购、销售、储存、加工的粮食经营者以及饲料、工业用粮企业未建立粮食经营台账的行为。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未建立粮食经营台账造成特别恶劣社会影响或导致特别严重危害后果的。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从事粮食收购、销售、储存、加工的粮食经营者以及饲料、工业用粮企业未按照规定报送粮食基本数据和有关情况的行为。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未按照规定报送粮食基本数据和有关情况，经责令改正，未予改正的</w:t>
            </w:r>
            <w:r>
              <w:rPr>
                <w:rFonts w:hint="eastAsia" w:ascii="宋体" w:hAnsi="宋体" w:eastAsia="宋体" w:cs="宋体"/>
                <w:i w:val="0"/>
                <w:color w:val="000000"/>
                <w:kern w:val="0"/>
                <w:sz w:val="21"/>
                <w:szCs w:val="21"/>
                <w:u w:val="none"/>
                <w:shd w:val="clear" w:color="auto" w:fill="auto"/>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w:t>
            </w:r>
            <w:r>
              <w:rPr>
                <w:rFonts w:hint="eastAsia" w:ascii="宋体" w:hAnsi="宋体" w:eastAsia="宋体" w:cs="宋体"/>
                <w:i w:val="0"/>
                <w:color w:val="000000"/>
                <w:spacing w:val="0"/>
                <w:w w:val="100"/>
                <w:kern w:val="0"/>
                <w:sz w:val="21"/>
                <w:szCs w:val="21"/>
                <w:u w:val="none"/>
                <w:lang w:val="en-US" w:eastAsia="zh-CN" w:bidi="ar"/>
              </w:rPr>
              <w:t>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9"/>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9"/>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未按照规定进行粮食销售出库质量安全检验的行为。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《粮食流通管理条例》第十七条第二款、《粮食质量安全监管办法》第十八条第一款第（一）项、第（二）项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《粮食流通管理条例》第四十五条第（六）项、第五十一条、《粮食质量安全监管办法》第四十六条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正常储存年限内的粮食，未按照规定进行粮食销售出库质量安全检验的。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超过正常储存年限的粮食，储存期间使用储粮药剂未满安全间隔期的粮食，以及色泽、气味异常的粮食，未按照规定进行粮食销售出库质量安全检验的。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粮食收购者、粮食储存企业未按要求使用仓储设施的行为。</w:t>
            </w:r>
          </w:p>
        </w:tc>
        <w:tc>
          <w:tcPr>
            <w:tcW w:w="37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《粮食流通管理条例》第十三条、《粮食质量安全监管办法》第十二条</w:t>
            </w:r>
          </w:p>
        </w:tc>
        <w:tc>
          <w:tcPr>
            <w:tcW w:w="390"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6"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粮食收购者、粮食储存企业未按照规定使用运输工具的行为。</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《粮食流通管理条例》第十四条、《粮食质量安全监管办法》第二十一条第一款、第二款</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粮食收购者收购粮食未按照国家有关规定进行质量安全检验的行为。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《粮食流通管理条例》第十一条第二款、《粮食质量安全监管办法》第十三条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粮食收购者收购粮食违反规定，对不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符合食品安全标准的粮食未作为非食用用途单独储存的行为。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《粮食流通管理条例》第十一条第二款、《粮食质量安全监管办法》第十五条第一款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储存企业将不符合规定的粮食作为食用用途销售出库的行为。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《粮食流通管理条例》第十八条、《粮食质量安全监管办法》第十九条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《粮食流通管理条例》第四十七条、《粮食质量安全监管办法》第四十六条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违法销售出库的粮食货值金额不足1万元的。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没收违法所得，并处1万元以上5万元以下罚款。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没收违法所得，并处货值金额1倍以上3倍以下罚款。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违法销售出库的粮食货值金额1万元以上，且违法行为造成危害后果或负面社会影响的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没收违法所得，并处货值金额3倍以上5倍以下罚款。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粮食应急预案启动后，不按照国家要求承担应急任务，不服从国家的统一安排和调度的行为。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《粮食流通管理条例》第三十五条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《粮食流通管理条例》第四十九条第二款、第五十一条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不按照国家要求承担应急任务，未造成社会影响或危害后果的。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不服从国家的统一安排和调度，未造成社会影响或危害后果的。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不按照国家要求承担应急任务，不服从国家的统一安排和调度，造成负面社会影响或严重危害后果的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不按照国家要求承担应急任务，不服从国家的统一安排和调度，造成特别恶劣社会影响或导致特别严重危害后果的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从事政策性粮食经营活动时虚报粮食收储数量的行为。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《粮食流通管理条例》第二十条第（一）项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《粮食流通管理条例》第四十九条第一款第（一）项、第五十一条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8"/>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8"/>
              </w:numPr>
              <w:suppressLineNumbers w:val="0"/>
              <w:ind w:left="0" w:leftChars="0" w:firstLine="0" w:firstLineChars="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从事政策性粮食经营活动时通过以陈顶新、以次充好、低收高转、虚假购销、虚假轮换、违规倒卖等方式，套取粮食价差和财政补贴，骗取信贷资金的行为。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套取粮食价差和财政补贴，骗取信贷资金200万元以上350万元以下的。</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套取粮食价差和财政补贴，骗取信贷资金350万元以上的。</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从事政策性粮食经营活动时挤占、挪用、克扣财政补贴、信贷资金的行为。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《粮食流通管理条例》第二十条第（三）项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挤占、挪用、克扣财政补贴、信贷资金200万元以上350万元以下的。</w:t>
            </w:r>
          </w:p>
          <w:p>
            <w:pPr>
              <w:keepNext w:val="0"/>
              <w:keepLines w:val="0"/>
              <w:widowControl/>
              <w:numPr>
                <w:ilvl w:val="0"/>
                <w:numId w:val="22"/>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挤占、挪用、克扣财政补贴、信贷资金350万元以上的。</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以政策性粮食为债务作担保或者清偿债务的行为。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《粮食流通管理条例》第二十条第（四）项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《粮食流通管理条例》第四十九条第一款第（四）项、第五十一条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spacing w:val="0"/>
                <w:w w:val="90"/>
                <w:kern w:val="0"/>
                <w:sz w:val="21"/>
                <w:szCs w:val="21"/>
                <w:u w:val="none"/>
                <w:lang w:val="en-US" w:eastAsia="zh-CN" w:bidi="ar"/>
              </w:rPr>
              <w:t>违法</w:t>
            </w:r>
            <w:r>
              <w:rPr>
                <w:rFonts w:hint="eastAsia" w:ascii="宋体" w:hAnsi="宋体" w:eastAsia="宋体" w:cs="宋体"/>
                <w:i w:val="0"/>
                <w:color w:val="000000"/>
                <w:spacing w:val="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7"/>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利用政策性粮食进行除政府委托的政策性任务以外的其他商业经营的行为。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《粮食流通管理条例》第二十条第（五）项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8"/>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8"/>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90"/>
                <w:kern w:val="0"/>
                <w:sz w:val="21"/>
                <w:szCs w:val="21"/>
                <w:u w:val="none"/>
                <w:lang w:val="en-US" w:eastAsia="zh-CN" w:bidi="ar"/>
              </w:rPr>
              <w:t>违法</w:t>
            </w:r>
            <w:r>
              <w:rPr>
                <w:rFonts w:hint="eastAsia" w:ascii="宋体" w:hAnsi="宋体" w:eastAsia="宋体" w:cs="宋体"/>
                <w:i w:val="0"/>
                <w:color w:val="00000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9"/>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违法涉案粮食货值金额350万元以上的。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在政策性粮食出库时掺杂使假、以次充好、调换标的物，拒不执行出库指令或者阻挠出库的行为。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《粮食流通管理条例》第二十条第（六）项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《粮食流通管理条例》第四十九条第一款第（六）项、第五十一条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涉案粮食货值金额125万元</w:t>
            </w:r>
            <w:r>
              <w:rPr>
                <w:rFonts w:hint="eastAsia" w:ascii="宋体" w:hAnsi="宋体" w:eastAsia="宋体" w:cs="宋体"/>
                <w:i w:val="0"/>
                <w:color w:val="000000"/>
                <w:spacing w:val="-20"/>
                <w:w w:val="100"/>
                <w:kern w:val="0"/>
                <w:sz w:val="21"/>
                <w:szCs w:val="21"/>
                <w:u w:val="none"/>
                <w:lang w:val="en-US" w:eastAsia="zh-CN" w:bidi="ar"/>
              </w:rPr>
              <w:t>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购买国家限定用途的政策性粮食，违规倒卖或者不按照规定用途处置的行为。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《粮食流通管理条例》第二十条第（七）项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《粮食流通管理条例》第四十九条第一款第（七）项、第五十一条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4"/>
              </w:numPr>
              <w:suppressLineNumbers w:val="0"/>
              <w:ind w:left="0" w:lef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擅自动用政策性粮食的行为。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《粮食流通管理条例》第二十条第（八）项</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《粮食流通管理条例》第四十九条第一款第（八）项、第五十一条</w:t>
            </w:r>
          </w:p>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涉案粮食货值金额200万元以上350万元以下的。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涉案粮食货值金额350万元以上的</w:t>
            </w:r>
            <w:r>
              <w:rPr>
                <w:rFonts w:hint="eastAsia" w:ascii="宋体" w:hAnsi="宋体" w:cs="宋体"/>
                <w:i w:val="0"/>
                <w:color w:val="000000"/>
                <w:kern w:val="0"/>
                <w:sz w:val="21"/>
                <w:szCs w:val="21"/>
                <w:highlight w:val="none"/>
                <w:u w:val="none"/>
                <w:lang w:val="en-US" w:eastAsia="zh-CN" w:bidi="ar"/>
              </w:rPr>
              <w:t>。</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其他违反国家政策性粮食经营管理规定的行为。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《粮食流通管理条例》第二十条第（九）项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《粮食流通管理条例》第四十九条第一款第（九）项、第五十一条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78EA"/>
    <w:multiLevelType w:val="singleLevel"/>
    <w:tmpl w:val="9BFE78EA"/>
    <w:lvl w:ilvl="0" w:tentative="0">
      <w:start w:val="1"/>
      <w:numFmt w:val="decimal"/>
      <w:lvlText w:val="%1."/>
      <w:lvlJc w:val="left"/>
      <w:pPr>
        <w:tabs>
          <w:tab w:val="left" w:pos="312"/>
        </w:tabs>
      </w:pPr>
    </w:lvl>
  </w:abstractNum>
  <w:abstractNum w:abstractNumId="1">
    <w:nsid w:val="9CB3480A"/>
    <w:multiLevelType w:val="singleLevel"/>
    <w:tmpl w:val="9CB3480A"/>
    <w:lvl w:ilvl="0" w:tentative="0">
      <w:start w:val="1"/>
      <w:numFmt w:val="decimal"/>
      <w:suff w:val="space"/>
      <w:lvlText w:val="%1."/>
      <w:lvlJc w:val="left"/>
    </w:lvl>
  </w:abstractNum>
  <w:abstractNum w:abstractNumId="2">
    <w:nsid w:val="B5F2DEC8"/>
    <w:multiLevelType w:val="singleLevel"/>
    <w:tmpl w:val="B5F2DEC8"/>
    <w:lvl w:ilvl="0" w:tentative="0">
      <w:start w:val="1"/>
      <w:numFmt w:val="decimal"/>
      <w:suff w:val="space"/>
      <w:lvlText w:val="%1."/>
      <w:lvlJc w:val="left"/>
    </w:lvl>
  </w:abstractNum>
  <w:abstractNum w:abstractNumId="3">
    <w:nsid w:val="B5FFB8D4"/>
    <w:multiLevelType w:val="singleLevel"/>
    <w:tmpl w:val="B5FFB8D4"/>
    <w:lvl w:ilvl="0" w:tentative="0">
      <w:start w:val="1"/>
      <w:numFmt w:val="decimal"/>
      <w:suff w:val="space"/>
      <w:lvlText w:val="%1."/>
      <w:lvlJc w:val="left"/>
    </w:lvl>
  </w:abstractNum>
  <w:abstractNum w:abstractNumId="4">
    <w:nsid w:val="BCFC0BDF"/>
    <w:multiLevelType w:val="singleLevel"/>
    <w:tmpl w:val="BCFC0BDF"/>
    <w:lvl w:ilvl="0" w:tentative="0">
      <w:start w:val="1"/>
      <w:numFmt w:val="decimal"/>
      <w:suff w:val="space"/>
      <w:lvlText w:val="%1."/>
      <w:lvlJc w:val="left"/>
    </w:lvl>
  </w:abstractNum>
  <w:abstractNum w:abstractNumId="5">
    <w:nsid w:val="BD7F8371"/>
    <w:multiLevelType w:val="singleLevel"/>
    <w:tmpl w:val="BD7F8371"/>
    <w:lvl w:ilvl="0" w:tentative="0">
      <w:start w:val="1"/>
      <w:numFmt w:val="decimal"/>
      <w:suff w:val="space"/>
      <w:lvlText w:val="%1."/>
      <w:lvlJc w:val="left"/>
    </w:lvl>
  </w:abstractNum>
  <w:abstractNum w:abstractNumId="6">
    <w:nsid w:val="BF7FCBBE"/>
    <w:multiLevelType w:val="singleLevel"/>
    <w:tmpl w:val="BF7FCBBE"/>
    <w:lvl w:ilvl="0" w:tentative="0">
      <w:start w:val="1"/>
      <w:numFmt w:val="decimal"/>
      <w:suff w:val="space"/>
      <w:lvlText w:val="%1."/>
      <w:lvlJc w:val="left"/>
    </w:lvl>
  </w:abstractNum>
  <w:abstractNum w:abstractNumId="7">
    <w:nsid w:val="BF9F1680"/>
    <w:multiLevelType w:val="singleLevel"/>
    <w:tmpl w:val="BF9F1680"/>
    <w:lvl w:ilvl="0" w:tentative="0">
      <w:start w:val="1"/>
      <w:numFmt w:val="decimal"/>
      <w:suff w:val="space"/>
      <w:lvlText w:val="%1."/>
      <w:lvlJc w:val="left"/>
    </w:lvl>
  </w:abstractNum>
  <w:abstractNum w:abstractNumId="8">
    <w:nsid w:val="BFE359C4"/>
    <w:multiLevelType w:val="singleLevel"/>
    <w:tmpl w:val="BFE359C4"/>
    <w:lvl w:ilvl="0" w:tentative="0">
      <w:start w:val="1"/>
      <w:numFmt w:val="decimal"/>
      <w:lvlText w:val="%1."/>
      <w:lvlJc w:val="left"/>
      <w:pPr>
        <w:tabs>
          <w:tab w:val="left" w:pos="312"/>
        </w:tabs>
      </w:pPr>
    </w:lvl>
  </w:abstractNum>
  <w:abstractNum w:abstractNumId="9">
    <w:nsid w:val="BFFB66C3"/>
    <w:multiLevelType w:val="singleLevel"/>
    <w:tmpl w:val="BFFB66C3"/>
    <w:lvl w:ilvl="0" w:tentative="0">
      <w:start w:val="1"/>
      <w:numFmt w:val="decimal"/>
      <w:lvlText w:val="%1."/>
      <w:lvlJc w:val="left"/>
      <w:pPr>
        <w:tabs>
          <w:tab w:val="left" w:pos="312"/>
        </w:tabs>
      </w:pPr>
    </w:lvl>
  </w:abstractNum>
  <w:abstractNum w:abstractNumId="10">
    <w:nsid w:val="CED6234F"/>
    <w:multiLevelType w:val="singleLevel"/>
    <w:tmpl w:val="CED6234F"/>
    <w:lvl w:ilvl="0" w:tentative="0">
      <w:start w:val="1"/>
      <w:numFmt w:val="decimal"/>
      <w:suff w:val="space"/>
      <w:lvlText w:val="%1."/>
      <w:lvlJc w:val="left"/>
    </w:lvl>
  </w:abstractNum>
  <w:abstractNum w:abstractNumId="11">
    <w:nsid w:val="DBFBA4CE"/>
    <w:multiLevelType w:val="singleLevel"/>
    <w:tmpl w:val="DBFBA4CE"/>
    <w:lvl w:ilvl="0" w:tentative="0">
      <w:start w:val="1"/>
      <w:numFmt w:val="decimal"/>
      <w:suff w:val="space"/>
      <w:lvlText w:val="%1."/>
      <w:lvlJc w:val="left"/>
    </w:lvl>
  </w:abstractNum>
  <w:abstractNum w:abstractNumId="12">
    <w:nsid w:val="DFEEAAB6"/>
    <w:multiLevelType w:val="singleLevel"/>
    <w:tmpl w:val="DFEEAAB6"/>
    <w:lvl w:ilvl="0" w:tentative="0">
      <w:start w:val="1"/>
      <w:numFmt w:val="decimal"/>
      <w:lvlText w:val="%1."/>
      <w:lvlJc w:val="left"/>
      <w:pPr>
        <w:tabs>
          <w:tab w:val="left" w:pos="312"/>
        </w:tabs>
      </w:pPr>
    </w:lvl>
  </w:abstractNum>
  <w:abstractNum w:abstractNumId="13">
    <w:nsid w:val="DFFCD761"/>
    <w:multiLevelType w:val="singleLevel"/>
    <w:tmpl w:val="DFFCD761"/>
    <w:lvl w:ilvl="0" w:tentative="0">
      <w:start w:val="1"/>
      <w:numFmt w:val="decimal"/>
      <w:suff w:val="space"/>
      <w:lvlText w:val="%1."/>
      <w:lvlJc w:val="left"/>
    </w:lvl>
  </w:abstractNum>
  <w:abstractNum w:abstractNumId="14">
    <w:nsid w:val="EFACA596"/>
    <w:multiLevelType w:val="singleLevel"/>
    <w:tmpl w:val="EFACA596"/>
    <w:lvl w:ilvl="0" w:tentative="0">
      <w:start w:val="1"/>
      <w:numFmt w:val="decimal"/>
      <w:suff w:val="space"/>
      <w:lvlText w:val="%1."/>
      <w:lvlJc w:val="left"/>
    </w:lvl>
  </w:abstractNum>
  <w:abstractNum w:abstractNumId="15">
    <w:nsid w:val="EFD79B1D"/>
    <w:multiLevelType w:val="singleLevel"/>
    <w:tmpl w:val="EFD79B1D"/>
    <w:lvl w:ilvl="0" w:tentative="0">
      <w:start w:val="1"/>
      <w:numFmt w:val="decimal"/>
      <w:suff w:val="space"/>
      <w:lvlText w:val="%1."/>
      <w:lvlJc w:val="left"/>
    </w:lvl>
  </w:abstractNum>
  <w:abstractNum w:abstractNumId="16">
    <w:nsid w:val="EFE75F1B"/>
    <w:multiLevelType w:val="singleLevel"/>
    <w:tmpl w:val="EFE75F1B"/>
    <w:lvl w:ilvl="0" w:tentative="0">
      <w:start w:val="1"/>
      <w:numFmt w:val="decimal"/>
      <w:suff w:val="space"/>
      <w:lvlText w:val="%1."/>
      <w:lvlJc w:val="left"/>
    </w:lvl>
  </w:abstractNum>
  <w:abstractNum w:abstractNumId="17">
    <w:nsid w:val="EFF2C98B"/>
    <w:multiLevelType w:val="singleLevel"/>
    <w:tmpl w:val="EFF2C98B"/>
    <w:lvl w:ilvl="0" w:tentative="0">
      <w:start w:val="1"/>
      <w:numFmt w:val="decimal"/>
      <w:lvlText w:val="%1."/>
      <w:lvlJc w:val="left"/>
      <w:pPr>
        <w:tabs>
          <w:tab w:val="left" w:pos="312"/>
        </w:tabs>
      </w:pPr>
    </w:lvl>
  </w:abstractNum>
  <w:abstractNum w:abstractNumId="18">
    <w:nsid w:val="F57AEF68"/>
    <w:multiLevelType w:val="singleLevel"/>
    <w:tmpl w:val="F57AEF68"/>
    <w:lvl w:ilvl="0" w:tentative="0">
      <w:start w:val="1"/>
      <w:numFmt w:val="decimal"/>
      <w:lvlText w:val="%1."/>
      <w:lvlJc w:val="left"/>
      <w:pPr>
        <w:tabs>
          <w:tab w:val="left" w:pos="312"/>
        </w:tabs>
      </w:pPr>
    </w:lvl>
  </w:abstractNum>
  <w:abstractNum w:abstractNumId="19">
    <w:nsid w:val="F7FFDD2F"/>
    <w:multiLevelType w:val="singleLevel"/>
    <w:tmpl w:val="F7FFDD2F"/>
    <w:lvl w:ilvl="0" w:tentative="0">
      <w:start w:val="1"/>
      <w:numFmt w:val="decimal"/>
      <w:suff w:val="space"/>
      <w:lvlText w:val="%1."/>
      <w:lvlJc w:val="left"/>
    </w:lvl>
  </w:abstractNum>
  <w:abstractNum w:abstractNumId="20">
    <w:nsid w:val="FAE020B3"/>
    <w:multiLevelType w:val="singleLevel"/>
    <w:tmpl w:val="FAE020B3"/>
    <w:lvl w:ilvl="0" w:tentative="0">
      <w:start w:val="1"/>
      <w:numFmt w:val="decimal"/>
      <w:suff w:val="space"/>
      <w:lvlText w:val="%1."/>
      <w:lvlJc w:val="left"/>
    </w:lvl>
  </w:abstractNum>
  <w:abstractNum w:abstractNumId="21">
    <w:nsid w:val="FBDE82FF"/>
    <w:multiLevelType w:val="singleLevel"/>
    <w:tmpl w:val="FBDE82FF"/>
    <w:lvl w:ilvl="0" w:tentative="0">
      <w:start w:val="1"/>
      <w:numFmt w:val="decimal"/>
      <w:suff w:val="space"/>
      <w:lvlText w:val="%1."/>
      <w:lvlJc w:val="left"/>
    </w:lvl>
  </w:abstractNum>
  <w:abstractNum w:abstractNumId="22">
    <w:nsid w:val="FD62A32A"/>
    <w:multiLevelType w:val="singleLevel"/>
    <w:tmpl w:val="FD62A32A"/>
    <w:lvl w:ilvl="0" w:tentative="0">
      <w:start w:val="1"/>
      <w:numFmt w:val="decimal"/>
      <w:suff w:val="space"/>
      <w:lvlText w:val="%1."/>
      <w:lvlJc w:val="left"/>
    </w:lvl>
  </w:abstractNum>
  <w:abstractNum w:abstractNumId="23">
    <w:nsid w:val="FDF87544"/>
    <w:multiLevelType w:val="singleLevel"/>
    <w:tmpl w:val="FDF87544"/>
    <w:lvl w:ilvl="0" w:tentative="0">
      <w:start w:val="1"/>
      <w:numFmt w:val="decimal"/>
      <w:suff w:val="space"/>
      <w:lvlText w:val="%1."/>
      <w:lvlJc w:val="left"/>
    </w:lvl>
  </w:abstractNum>
  <w:abstractNum w:abstractNumId="24">
    <w:nsid w:val="FEFED836"/>
    <w:multiLevelType w:val="singleLevel"/>
    <w:tmpl w:val="FEFED836"/>
    <w:lvl w:ilvl="0" w:tentative="0">
      <w:start w:val="1"/>
      <w:numFmt w:val="decimal"/>
      <w:lvlText w:val="%1."/>
      <w:lvlJc w:val="left"/>
      <w:pPr>
        <w:tabs>
          <w:tab w:val="left" w:pos="312"/>
        </w:tabs>
      </w:pPr>
    </w:lvl>
  </w:abstractNum>
  <w:abstractNum w:abstractNumId="25">
    <w:nsid w:val="FF5A6774"/>
    <w:multiLevelType w:val="singleLevel"/>
    <w:tmpl w:val="FF5A6774"/>
    <w:lvl w:ilvl="0" w:tentative="0">
      <w:start w:val="1"/>
      <w:numFmt w:val="decimal"/>
      <w:lvlText w:val="%1."/>
      <w:lvlJc w:val="left"/>
      <w:pPr>
        <w:tabs>
          <w:tab w:val="left" w:pos="312"/>
        </w:tabs>
      </w:pPr>
    </w:lvl>
  </w:abstractNum>
  <w:abstractNum w:abstractNumId="26">
    <w:nsid w:val="FFFC6577"/>
    <w:multiLevelType w:val="singleLevel"/>
    <w:tmpl w:val="FFFC6577"/>
    <w:lvl w:ilvl="0" w:tentative="0">
      <w:start w:val="1"/>
      <w:numFmt w:val="decimal"/>
      <w:suff w:val="space"/>
      <w:lvlText w:val="%1."/>
      <w:lvlJc w:val="left"/>
    </w:lvl>
  </w:abstractNum>
  <w:abstractNum w:abstractNumId="27">
    <w:nsid w:val="07EFC6CD"/>
    <w:multiLevelType w:val="singleLevel"/>
    <w:tmpl w:val="07EFC6CD"/>
    <w:lvl w:ilvl="0" w:tentative="0">
      <w:start w:val="1"/>
      <w:numFmt w:val="decimal"/>
      <w:suff w:val="space"/>
      <w:lvlText w:val="%1."/>
      <w:lvlJc w:val="left"/>
    </w:lvl>
  </w:abstractNum>
  <w:abstractNum w:abstractNumId="28">
    <w:nsid w:val="2D8EEAAE"/>
    <w:multiLevelType w:val="singleLevel"/>
    <w:tmpl w:val="2D8EEAAE"/>
    <w:lvl w:ilvl="0" w:tentative="0">
      <w:start w:val="1"/>
      <w:numFmt w:val="decimal"/>
      <w:suff w:val="space"/>
      <w:lvlText w:val="%1."/>
      <w:lvlJc w:val="left"/>
    </w:lvl>
  </w:abstractNum>
  <w:abstractNum w:abstractNumId="29">
    <w:nsid w:val="3D77C433"/>
    <w:multiLevelType w:val="singleLevel"/>
    <w:tmpl w:val="3D77C433"/>
    <w:lvl w:ilvl="0" w:tentative="0">
      <w:start w:val="1"/>
      <w:numFmt w:val="decimal"/>
      <w:suff w:val="space"/>
      <w:lvlText w:val="%1."/>
      <w:lvlJc w:val="left"/>
    </w:lvl>
  </w:abstractNum>
  <w:abstractNum w:abstractNumId="30">
    <w:nsid w:val="5EB9C271"/>
    <w:multiLevelType w:val="singleLevel"/>
    <w:tmpl w:val="5EB9C271"/>
    <w:lvl w:ilvl="0" w:tentative="0">
      <w:start w:val="1"/>
      <w:numFmt w:val="decimal"/>
      <w:suff w:val="space"/>
      <w:lvlText w:val="%1."/>
      <w:lvlJc w:val="left"/>
    </w:lvl>
  </w:abstractNum>
  <w:abstractNum w:abstractNumId="31">
    <w:nsid w:val="5FDFDA2A"/>
    <w:multiLevelType w:val="singleLevel"/>
    <w:tmpl w:val="5FDFDA2A"/>
    <w:lvl w:ilvl="0" w:tentative="0">
      <w:start w:val="1"/>
      <w:numFmt w:val="decimal"/>
      <w:suff w:val="space"/>
      <w:lvlText w:val="%1."/>
      <w:lvlJc w:val="left"/>
    </w:lvl>
  </w:abstractNum>
  <w:abstractNum w:abstractNumId="32">
    <w:nsid w:val="657A80F8"/>
    <w:multiLevelType w:val="singleLevel"/>
    <w:tmpl w:val="657A80F8"/>
    <w:lvl w:ilvl="0" w:tentative="0">
      <w:start w:val="1"/>
      <w:numFmt w:val="decimal"/>
      <w:suff w:val="space"/>
      <w:lvlText w:val="%1."/>
      <w:lvlJc w:val="left"/>
    </w:lvl>
  </w:abstractNum>
  <w:abstractNum w:abstractNumId="33">
    <w:nsid w:val="72FF6EB2"/>
    <w:multiLevelType w:val="singleLevel"/>
    <w:tmpl w:val="72FF6EB2"/>
    <w:lvl w:ilvl="0" w:tentative="0">
      <w:start w:val="1"/>
      <w:numFmt w:val="decimal"/>
      <w:lvlText w:val="%1."/>
      <w:lvlJc w:val="left"/>
      <w:pPr>
        <w:tabs>
          <w:tab w:val="left" w:pos="312"/>
        </w:tabs>
      </w:pPr>
    </w:lvl>
  </w:abstractNum>
  <w:abstractNum w:abstractNumId="34">
    <w:nsid w:val="7EEC5F66"/>
    <w:multiLevelType w:val="singleLevel"/>
    <w:tmpl w:val="7EEC5F66"/>
    <w:lvl w:ilvl="0" w:tentative="0">
      <w:start w:val="1"/>
      <w:numFmt w:val="decimal"/>
      <w:suff w:val="space"/>
      <w:lvlText w:val="%1."/>
      <w:lvlJc w:val="left"/>
    </w:lvl>
  </w:abstractNum>
  <w:abstractNum w:abstractNumId="35">
    <w:nsid w:val="7FED3FC9"/>
    <w:multiLevelType w:val="singleLevel"/>
    <w:tmpl w:val="7FED3FC9"/>
    <w:lvl w:ilvl="0" w:tentative="0">
      <w:start w:val="1"/>
      <w:numFmt w:val="decimal"/>
      <w:suff w:val="space"/>
      <w:lvlText w:val="%1."/>
      <w:lvlJc w:val="left"/>
    </w:lvl>
  </w:abstractNum>
  <w:abstractNum w:abstractNumId="36">
    <w:nsid w:val="7FF61176"/>
    <w:multiLevelType w:val="singleLevel"/>
    <w:tmpl w:val="7FF61176"/>
    <w:lvl w:ilvl="0" w:tentative="0">
      <w:start w:val="1"/>
      <w:numFmt w:val="decimal"/>
      <w:lvlText w:val="%1."/>
      <w:lvlJc w:val="left"/>
      <w:pPr>
        <w:tabs>
          <w:tab w:val="left" w:pos="312"/>
        </w:tabs>
      </w:pPr>
    </w:lvl>
  </w:abstractNum>
  <w:abstractNum w:abstractNumId="37">
    <w:nsid w:val="7FFE95BD"/>
    <w:multiLevelType w:val="singleLevel"/>
    <w:tmpl w:val="7FFE95BD"/>
    <w:lvl w:ilvl="0" w:tentative="0">
      <w:start w:val="1"/>
      <w:numFmt w:val="decimal"/>
      <w:suff w:val="space"/>
      <w:lvlText w:val="%1."/>
      <w:lvlJc w:val="left"/>
    </w:lvl>
  </w:abstractNum>
  <w:abstractNum w:abstractNumId="38">
    <w:nsid w:val="7FFF58DF"/>
    <w:multiLevelType w:val="singleLevel"/>
    <w:tmpl w:val="7FFF58DF"/>
    <w:lvl w:ilvl="0" w:tentative="0">
      <w:start w:val="1"/>
      <w:numFmt w:val="decimal"/>
      <w:suff w:val="space"/>
      <w:lvlText w:val="%1."/>
      <w:lvlJc w:val="left"/>
    </w:lvl>
  </w:abstractNum>
  <w:num w:numId="1">
    <w:abstractNumId w:val="15"/>
  </w:num>
  <w:num w:numId="2">
    <w:abstractNumId w:val="11"/>
  </w:num>
  <w:num w:numId="3">
    <w:abstractNumId w:val="3"/>
  </w:num>
  <w:num w:numId="4">
    <w:abstractNumId w:val="31"/>
  </w:num>
  <w:num w:numId="5">
    <w:abstractNumId w:val="24"/>
  </w:num>
  <w:num w:numId="6">
    <w:abstractNumId w:val="34"/>
  </w:num>
  <w:num w:numId="7">
    <w:abstractNumId w:val="37"/>
  </w:num>
  <w:num w:numId="8">
    <w:abstractNumId w:val="26"/>
  </w:num>
  <w:num w:numId="9">
    <w:abstractNumId w:val="22"/>
  </w:num>
  <w:num w:numId="10">
    <w:abstractNumId w:val="35"/>
  </w:num>
  <w:num w:numId="11">
    <w:abstractNumId w:val="20"/>
  </w:num>
  <w:num w:numId="12">
    <w:abstractNumId w:val="33"/>
  </w:num>
  <w:num w:numId="13">
    <w:abstractNumId w:val="17"/>
  </w:num>
  <w:num w:numId="14">
    <w:abstractNumId w:val="12"/>
  </w:num>
  <w:num w:numId="15">
    <w:abstractNumId w:val="25"/>
  </w:num>
  <w:num w:numId="16">
    <w:abstractNumId w:val="8"/>
  </w:num>
  <w:num w:numId="17">
    <w:abstractNumId w:val="10"/>
  </w:num>
  <w:num w:numId="18">
    <w:abstractNumId w:val="29"/>
  </w:num>
  <w:num w:numId="19">
    <w:abstractNumId w:val="4"/>
  </w:num>
  <w:num w:numId="20">
    <w:abstractNumId w:val="2"/>
  </w:num>
  <w:num w:numId="21">
    <w:abstractNumId w:val="19"/>
  </w:num>
  <w:num w:numId="22">
    <w:abstractNumId w:val="5"/>
  </w:num>
  <w:num w:numId="23">
    <w:abstractNumId w:val="27"/>
  </w:num>
  <w:num w:numId="24">
    <w:abstractNumId w:val="9"/>
  </w:num>
  <w:num w:numId="25">
    <w:abstractNumId w:val="36"/>
  </w:num>
  <w:num w:numId="26">
    <w:abstractNumId w:val="0"/>
  </w:num>
  <w:num w:numId="27">
    <w:abstractNumId w:val="21"/>
  </w:num>
  <w:num w:numId="28">
    <w:abstractNumId w:val="23"/>
  </w:num>
  <w:num w:numId="29">
    <w:abstractNumId w:val="13"/>
  </w:num>
  <w:num w:numId="30">
    <w:abstractNumId w:val="30"/>
  </w:num>
  <w:num w:numId="31">
    <w:abstractNumId w:val="1"/>
  </w:num>
  <w:num w:numId="32">
    <w:abstractNumId w:val="38"/>
  </w:num>
  <w:num w:numId="33">
    <w:abstractNumId w:val="18"/>
  </w:num>
  <w:num w:numId="34">
    <w:abstractNumId w:val="14"/>
  </w:num>
  <w:num w:numId="35">
    <w:abstractNumId w:val="28"/>
  </w:num>
  <w:num w:numId="36">
    <w:abstractNumId w:val="32"/>
  </w:num>
  <w:num w:numId="37">
    <w:abstractNumId w:val="7"/>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10FA2DD1"/>
    <w:rsid w:val="25665E5C"/>
    <w:rsid w:val="2891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0"/>
    </w:pPr>
    <w:rPr>
      <w:rFonts w:ascii="Calibri" w:hAnsi="Calibri"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413" w:lineRule="auto"/>
      <w:ind w:firstLine="420" w:firstLineChars="200"/>
      <w:outlineLvl w:val="1"/>
    </w:pPr>
    <w:rPr>
      <w:rFonts w:ascii="Arial" w:hAnsi="Arial" w:eastAsia="黑体" w:cs="Times New Roman"/>
      <w:b/>
      <w:sz w:val="3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semiHidden/>
    <w:qFormat/>
    <w:uiPriority w:val="0"/>
    <w:pPr>
      <w:spacing w:after="120"/>
      <w:ind w:left="420" w:leftChars="200" w:firstLine="420" w:firstLineChars="200"/>
      <w:jc w:val="both"/>
      <w:textAlignment w:val="baseline"/>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2023-11-02T01:51:00Z</dcterms:created>
  <dc:creator>lenovo</dc:creator>
  <cp:lastModifiedBy>学知言</cp:lastModifiedBy>
  <dcterms:modified xsi:type="dcterms:W3CDTF">2024-05-22T08:29:10Z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47B8FAABD1AF4814A249DECE118E9D7F_12</vt:lpwstr>
  </property>
</Properties>
</file>