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jc w:val="center"/>
        <w:rPr>
          <w:rFonts w:ascii="方正小标宋简体" w:hAnsi="方正小标宋简体" w:eastAsia="方正小标宋简体" w:cs="方正小标宋简体"/>
          <w:sz w:val="44"/>
          <w:szCs w:val="48"/>
          <w:highlight w:val="none"/>
        </w:rPr>
      </w:pPr>
      <w:r>
        <w:rPr>
          <w:rFonts w:hint="eastAsia" w:ascii="方正小标宋简体" w:hAnsi="方正小标宋简体" w:eastAsia="方正小标宋简体" w:cs="方正小标宋简体"/>
          <w:sz w:val="44"/>
          <w:szCs w:val="48"/>
          <w:highlight w:val="none"/>
        </w:rPr>
        <w:t>关于在北京市交通行业推广</w:t>
      </w:r>
    </w:p>
    <w:p>
      <w:pPr>
        <w:spacing w:after="312" w:afterLines="100" w:line="560" w:lineRule="exact"/>
        <w:jc w:val="center"/>
        <w:rPr>
          <w:rFonts w:ascii="方正小标宋简体" w:hAnsi="方正小标宋简体" w:eastAsia="方正小标宋简体" w:cs="方正小标宋简体"/>
          <w:sz w:val="44"/>
          <w:szCs w:val="48"/>
          <w:highlight w:val="none"/>
        </w:rPr>
      </w:pPr>
      <w:r>
        <w:rPr>
          <w:rFonts w:hint="eastAsia" w:ascii="方正小标宋简体" w:hAnsi="方正小标宋简体" w:eastAsia="方正小标宋简体" w:cs="方正小标宋简体"/>
          <w:sz w:val="44"/>
          <w:szCs w:val="48"/>
          <w:highlight w:val="none"/>
        </w:rPr>
        <w:t>绿色沥青混合料应用的指导意见</w:t>
      </w:r>
    </w:p>
    <w:p>
      <w:pPr>
        <w:ind w:firstLine="640" w:firstLineChars="200"/>
        <w:rPr>
          <w:rFonts w:ascii="仿宋_GB2312" w:hAnsi="仿宋_GB2312" w:eastAsia="仿宋_GB2312" w:cs="仿宋_GB2312"/>
          <w:sz w:val="32"/>
          <w:szCs w:val="36"/>
          <w:highlight w:val="none"/>
        </w:rPr>
      </w:pPr>
      <w:r>
        <w:rPr>
          <w:rFonts w:hint="eastAsia" w:ascii="仿宋_GB2312" w:hAnsi="仿宋_GB2312" w:eastAsia="仿宋_GB2312" w:cs="仿宋_GB2312"/>
          <w:sz w:val="32"/>
          <w:szCs w:val="36"/>
          <w:highlight w:val="none"/>
        </w:rPr>
        <w:t>为加快构建综合、绿色、安全、智能的立体化现代化城市交通系统，按照《关于实施绿色公路建设的指导意见》（交办公路〔2016〕93号）、《关于扩大政府采购支持绿色建材促进建筑品质提升政策实施范围的通知》（财库〔2022〕35号）和《中共北京市委 北京市人民政府关于深入打好北京市污染防治攻坚战的实施意见》及年度行动计划等文件要求，推动《北京市沥青混合料绿色评价技术指南》（BJJT</w:t>
      </w:r>
      <w:r>
        <w:rPr>
          <w:rFonts w:ascii="仿宋_GB2312" w:hAnsi="仿宋_GB2312" w:eastAsia="仿宋_GB2312" w:cs="仿宋_GB2312"/>
          <w:sz w:val="32"/>
          <w:szCs w:val="36"/>
          <w:highlight w:val="none"/>
        </w:rPr>
        <w:t>/0066-2022</w:t>
      </w:r>
      <w:r>
        <w:rPr>
          <w:rFonts w:hint="eastAsia" w:ascii="仿宋_GB2312" w:hAnsi="仿宋_GB2312" w:eastAsia="仿宋_GB2312" w:cs="仿宋_GB2312"/>
          <w:sz w:val="32"/>
          <w:szCs w:val="36"/>
          <w:highlight w:val="none"/>
        </w:rPr>
        <w:t xml:space="preserve">）（以下简称《指南》）落地实施，促进交通行业绿色沥青混合料推广应用，结合实际，提出以下指导意见。 </w:t>
      </w:r>
    </w:p>
    <w:p>
      <w:pPr>
        <w:spacing w:before="156" w:beforeLines="50" w:line="560" w:lineRule="exact"/>
        <w:ind w:firstLine="640" w:firstLineChars="200"/>
        <w:jc w:val="left"/>
        <w:rPr>
          <w:rFonts w:ascii="黑体" w:hAnsi="黑体" w:eastAsia="黑体" w:cs="黑体"/>
          <w:sz w:val="32"/>
          <w:szCs w:val="36"/>
          <w:highlight w:val="none"/>
        </w:rPr>
      </w:pPr>
      <w:r>
        <w:rPr>
          <w:rFonts w:hint="eastAsia" w:ascii="黑体" w:hAnsi="黑体" w:eastAsia="黑体" w:cs="黑体"/>
          <w:sz w:val="32"/>
          <w:szCs w:val="36"/>
          <w:highlight w:val="none"/>
        </w:rPr>
        <w:t>一、总体思路</w:t>
      </w:r>
    </w:p>
    <w:p>
      <w:pPr>
        <w:ind w:firstLine="640" w:firstLineChars="200"/>
        <w:rPr>
          <w:rFonts w:hint="eastAsia" w:ascii="仿宋_GB2312" w:hAnsi="仿宋_GB2312" w:eastAsia="仿宋_GB2312" w:cs="仿宋_GB2312"/>
          <w:sz w:val="32"/>
          <w:szCs w:val="36"/>
          <w:highlight w:val="none"/>
        </w:rPr>
      </w:pPr>
      <w:r>
        <w:rPr>
          <w:rFonts w:hint="eastAsia" w:ascii="仿宋_GB2312" w:hAnsi="仿宋_GB2312" w:eastAsia="仿宋_GB2312" w:cs="仿宋_GB2312"/>
          <w:sz w:val="32"/>
          <w:szCs w:val="36"/>
          <w:highlight w:val="none"/>
        </w:rPr>
        <w:t>以习近平新时代中国特色社会主义思想为指导,全面贯彻落实党的二十大精神，践行绿色发展理念，协同推进降碳、减污、扩绿、增长,全面推进绿色低碳循环发展，坚持政府引导、市场主导、创新驱动，加大绿色建材推广力度，鼓励低污染、低能耗、高性能、高效再生沥青混合料的应用，降低交通行业主要污染物排放，提升能源资源利用效率</w:t>
      </w:r>
      <w:r>
        <w:rPr>
          <w:rFonts w:hint="eastAsia" w:ascii="仿宋_GB2312" w:hAnsi="仿宋_GB2312" w:eastAsia="仿宋_GB2312" w:cs="仿宋_GB2312"/>
          <w:sz w:val="32"/>
          <w:szCs w:val="36"/>
          <w:highlight w:val="none"/>
        </w:rPr>
        <w:t>，助力“双碳”目标实现，支持北京交通行业高质量发展。</w:t>
      </w:r>
    </w:p>
    <w:p>
      <w:pPr>
        <w:spacing w:before="156" w:beforeLines="50" w:line="560" w:lineRule="exact"/>
        <w:ind w:firstLine="640" w:firstLineChars="200"/>
        <w:jc w:val="left"/>
        <w:rPr>
          <w:rFonts w:ascii="黑体" w:hAnsi="黑体" w:eastAsia="黑体" w:cs="黑体"/>
          <w:sz w:val="32"/>
          <w:szCs w:val="36"/>
          <w:highlight w:val="none"/>
        </w:rPr>
      </w:pPr>
      <w:r>
        <w:rPr>
          <w:rFonts w:hint="eastAsia" w:ascii="黑体" w:hAnsi="黑体" w:eastAsia="黑体" w:cs="黑体"/>
          <w:sz w:val="32"/>
          <w:szCs w:val="36"/>
          <w:highlight w:val="none"/>
        </w:rPr>
        <w:t>二、适用范围</w:t>
      </w:r>
    </w:p>
    <w:p>
      <w:pPr>
        <w:ind w:firstLine="640" w:firstLineChars="200"/>
        <w:rPr>
          <w:rFonts w:hint="eastAsia" w:ascii="仿宋_GB2312" w:hAnsi="仿宋_GB2312" w:eastAsia="仿宋_GB2312" w:cs="仿宋_GB2312"/>
          <w:sz w:val="32"/>
          <w:szCs w:val="36"/>
          <w:highlight w:val="none"/>
        </w:rPr>
      </w:pPr>
      <w:r>
        <w:rPr>
          <w:rFonts w:hint="eastAsia" w:ascii="仿宋_GB2312" w:hAnsi="仿宋_GB2312" w:eastAsia="仿宋_GB2312" w:cs="仿宋_GB2312"/>
          <w:sz w:val="32"/>
          <w:szCs w:val="36"/>
          <w:highlight w:val="none"/>
        </w:rPr>
        <w:t>适用于北京市行政区域内高速及普通公路的建设和养护（含日常养护作业）、城市道路的建设和养护、路政许可掘路路面修复</w:t>
      </w:r>
      <w:r>
        <w:rPr>
          <w:rFonts w:hint="eastAsia" w:ascii="仿宋_GB2312" w:hAnsi="仿宋_GB2312" w:eastAsia="仿宋_GB2312" w:cs="仿宋_GB2312"/>
          <w:sz w:val="32"/>
          <w:szCs w:val="36"/>
          <w:highlight w:val="none"/>
        </w:rPr>
        <w:t>、道路疏堵等相关工程所应用的沥青混合料。</w:t>
      </w:r>
    </w:p>
    <w:p>
      <w:pPr>
        <w:spacing w:before="156" w:beforeLines="50" w:line="560" w:lineRule="exact"/>
        <w:ind w:firstLine="640" w:firstLineChars="200"/>
        <w:jc w:val="left"/>
        <w:rPr>
          <w:rFonts w:ascii="黑体" w:hAnsi="黑体" w:eastAsia="黑体" w:cs="黑体"/>
          <w:sz w:val="32"/>
          <w:szCs w:val="36"/>
          <w:highlight w:val="none"/>
        </w:rPr>
      </w:pPr>
      <w:r>
        <w:rPr>
          <w:rFonts w:hint="eastAsia" w:ascii="黑体" w:hAnsi="黑体" w:eastAsia="黑体" w:cs="黑体"/>
          <w:sz w:val="32"/>
          <w:szCs w:val="36"/>
          <w:highlight w:val="none"/>
        </w:rPr>
        <w:t>三、适宜产品</w:t>
      </w:r>
    </w:p>
    <w:p>
      <w:pPr>
        <w:ind w:firstLine="640" w:firstLineChars="200"/>
        <w:rPr>
          <w:rFonts w:hint="eastAsia" w:ascii="仿宋_GB2312" w:hAnsi="仿宋_GB2312" w:eastAsia="仿宋_GB2312" w:cs="仿宋_GB2312"/>
          <w:sz w:val="32"/>
          <w:szCs w:val="36"/>
          <w:highlight w:val="none"/>
        </w:rPr>
      </w:pPr>
      <w:r>
        <w:rPr>
          <w:rFonts w:hint="eastAsia" w:ascii="仿宋_GB2312" w:hAnsi="仿宋_GB2312" w:eastAsia="仿宋_GB2312" w:cs="仿宋_GB2312"/>
          <w:sz w:val="32"/>
          <w:szCs w:val="36"/>
          <w:highlight w:val="none"/>
        </w:rPr>
        <w:t>按照《指南》评价方法，从再生利用、污染物排放、能源消耗和材料特征4个方面，对北京市常用沥青混合料进行了测评，并划分为五个星级（详见附件1），鼓励应用温拌、高效再生、高性能改性等低污染、低能耗的沥青混合料。</w:t>
      </w:r>
    </w:p>
    <w:p>
      <w:pPr>
        <w:spacing w:before="156" w:beforeLines="50" w:line="560" w:lineRule="exact"/>
        <w:ind w:firstLine="640" w:firstLineChars="200"/>
        <w:jc w:val="left"/>
        <w:rPr>
          <w:rFonts w:ascii="黑体" w:hAnsi="黑体" w:eastAsia="黑体" w:cs="黑体"/>
          <w:sz w:val="32"/>
          <w:szCs w:val="36"/>
          <w:highlight w:val="none"/>
        </w:rPr>
      </w:pPr>
      <w:r>
        <w:rPr>
          <w:rFonts w:hint="eastAsia" w:ascii="黑体" w:hAnsi="黑体" w:eastAsia="黑体" w:cs="黑体"/>
          <w:sz w:val="32"/>
          <w:szCs w:val="36"/>
          <w:highlight w:val="none"/>
        </w:rPr>
        <w:t>四、应用场景</w:t>
      </w:r>
    </w:p>
    <w:p>
      <w:pPr>
        <w:ind w:firstLine="640" w:firstLineChars="200"/>
        <w:rPr>
          <w:rFonts w:hint="eastAsia" w:ascii="仿宋_GB2312" w:hAnsi="仿宋_GB2312" w:eastAsia="仿宋_GB2312" w:cs="仿宋_GB2312"/>
          <w:sz w:val="32"/>
          <w:szCs w:val="36"/>
          <w:highlight w:val="none"/>
          <w:lang w:val="en"/>
        </w:rPr>
      </w:pPr>
      <w:r>
        <w:rPr>
          <w:rFonts w:hint="eastAsia" w:ascii="仿宋_GB2312" w:hAnsi="仿宋_GB2312" w:eastAsia="仿宋_GB2312" w:cs="仿宋_GB2312"/>
          <w:sz w:val="32"/>
          <w:szCs w:val="36"/>
          <w:highlight w:val="none"/>
          <w:lang w:val="en"/>
        </w:rPr>
        <w:t>依据《北京城市总体规划(2016年—2035年)》和《建设项目环境影响评价分类管理名录（2021年版）》等文件要求，对不同区域的沥青混合料应用推荐如下：</w:t>
      </w:r>
    </w:p>
    <w:p>
      <w:pPr>
        <w:ind w:firstLine="642" w:firstLineChars="200"/>
        <w:rPr>
          <w:rFonts w:hint="eastAsia" w:ascii="楷体" w:hAnsi="楷体" w:eastAsia="楷体"/>
          <w:b/>
          <w:bCs/>
          <w:sz w:val="32"/>
          <w:szCs w:val="36"/>
          <w:highlight w:val="none"/>
          <w:lang w:val="en"/>
        </w:rPr>
      </w:pPr>
      <w:r>
        <w:rPr>
          <w:rFonts w:hint="eastAsia" w:ascii="楷体" w:hAnsi="楷体" w:eastAsia="楷体"/>
          <w:b/>
          <w:bCs/>
          <w:sz w:val="32"/>
          <w:szCs w:val="36"/>
          <w:highlight w:val="none"/>
          <w:lang w:val="en"/>
        </w:rPr>
        <w:t>（一）以下区域推荐应用三星及以上沥青混合料</w:t>
      </w:r>
    </w:p>
    <w:p>
      <w:pPr>
        <w:ind w:firstLine="642" w:firstLineChars="200"/>
        <w:rPr>
          <w:rFonts w:ascii="仿宋_GB2312" w:hAnsi="仿宋_GB2312" w:eastAsia="仿宋_GB2312" w:cs="仿宋_GB2312"/>
          <w:sz w:val="32"/>
          <w:szCs w:val="36"/>
          <w:highlight w:val="none"/>
          <w:lang w:val="en"/>
        </w:rPr>
      </w:pPr>
      <w:r>
        <w:rPr>
          <w:rFonts w:hint="eastAsia" w:ascii="楷体" w:hAnsi="楷体" w:eastAsia="楷体"/>
          <w:b/>
          <w:bCs/>
          <w:sz w:val="32"/>
          <w:szCs w:val="36"/>
          <w:highlight w:val="none"/>
          <w:lang w:val="en"/>
        </w:rPr>
        <w:t>1.首都功能核心区和城市副中心</w:t>
      </w:r>
      <w:r>
        <w:rPr>
          <w:rFonts w:hint="eastAsia" w:ascii="仿宋_GB2312" w:hAnsi="仿宋_GB2312" w:eastAsia="仿宋_GB2312" w:cs="仿宋_GB2312"/>
          <w:sz w:val="32"/>
          <w:szCs w:val="36"/>
          <w:highlight w:val="none"/>
          <w:lang w:val="en"/>
        </w:rPr>
        <w:t>全域。</w:t>
      </w:r>
    </w:p>
    <w:p>
      <w:pPr>
        <w:ind w:firstLine="642" w:firstLineChars="200"/>
        <w:rPr>
          <w:rFonts w:ascii="仿宋_GB2312" w:hAnsi="仿宋_GB2312" w:eastAsia="仿宋_GB2312" w:cs="仿宋_GB2312"/>
          <w:sz w:val="32"/>
          <w:szCs w:val="36"/>
          <w:highlight w:val="none"/>
          <w:lang w:val="en"/>
        </w:rPr>
      </w:pPr>
      <w:r>
        <w:rPr>
          <w:rFonts w:hint="eastAsia" w:ascii="楷体" w:hAnsi="楷体" w:eastAsia="楷体"/>
          <w:b/>
          <w:bCs/>
          <w:sz w:val="32"/>
          <w:szCs w:val="36"/>
          <w:highlight w:val="none"/>
          <w:lang w:val="en"/>
        </w:rPr>
        <w:t>2.中心城区和平原新城</w:t>
      </w:r>
      <w:r>
        <w:rPr>
          <w:rFonts w:hint="eastAsia" w:ascii="仿宋_GB2312" w:hAnsi="仿宋_GB2312" w:eastAsia="仿宋_GB2312" w:cs="仿宋_GB2312"/>
          <w:sz w:val="32"/>
          <w:szCs w:val="36"/>
          <w:highlight w:val="none"/>
          <w:lang w:val="en"/>
        </w:rPr>
        <w:t>中以居住、医疗、教育、科研、商业和行政办公为主要功能区域。</w:t>
      </w:r>
    </w:p>
    <w:p>
      <w:pPr>
        <w:ind w:firstLine="642" w:firstLineChars="200"/>
        <w:rPr>
          <w:rFonts w:ascii="仿宋_GB2312" w:hAnsi="仿宋_GB2312" w:eastAsia="仿宋_GB2312" w:cs="仿宋_GB2312"/>
          <w:sz w:val="32"/>
          <w:szCs w:val="36"/>
          <w:highlight w:val="none"/>
          <w:lang w:val="en"/>
        </w:rPr>
      </w:pPr>
      <w:r>
        <w:rPr>
          <w:rFonts w:hint="eastAsia" w:ascii="楷体" w:hAnsi="楷体" w:eastAsia="楷体"/>
          <w:b/>
          <w:bCs/>
          <w:sz w:val="32"/>
          <w:szCs w:val="36"/>
          <w:highlight w:val="none"/>
          <w:lang w:val="en"/>
        </w:rPr>
        <w:t>3.生态涵养区</w:t>
      </w:r>
      <w:r>
        <w:rPr>
          <w:rFonts w:hint="eastAsia" w:ascii="仿宋_GB2312" w:hAnsi="仿宋_GB2312" w:eastAsia="仿宋_GB2312" w:cs="仿宋_GB2312"/>
          <w:sz w:val="32"/>
          <w:szCs w:val="36"/>
          <w:highlight w:val="none"/>
          <w:lang w:val="en"/>
        </w:rPr>
        <w:t>中以居住、医疗、教育、科研、商业和行政办公为主要功能区域内，或自然保护区、饮用水水源保护区等环境敏感区。</w:t>
      </w:r>
    </w:p>
    <w:p>
      <w:pPr>
        <w:ind w:firstLine="642" w:firstLineChars="200"/>
        <w:rPr>
          <w:rFonts w:ascii="楷体" w:hAnsi="楷体" w:eastAsia="楷体"/>
          <w:b/>
          <w:bCs/>
          <w:sz w:val="32"/>
          <w:szCs w:val="36"/>
          <w:highlight w:val="none"/>
          <w:lang w:val="en"/>
        </w:rPr>
      </w:pPr>
      <w:r>
        <w:rPr>
          <w:rFonts w:hint="eastAsia" w:ascii="楷体" w:hAnsi="楷体" w:eastAsia="楷体"/>
          <w:b/>
          <w:bCs/>
          <w:sz w:val="32"/>
          <w:szCs w:val="36"/>
          <w:highlight w:val="none"/>
          <w:lang w:val="en"/>
        </w:rPr>
        <w:t>（二）除上述区域外，推荐应用二星及以上沥青混合料。</w:t>
      </w:r>
    </w:p>
    <w:p>
      <w:pPr>
        <w:ind w:firstLine="642" w:firstLineChars="200"/>
        <w:rPr>
          <w:rFonts w:ascii="仿宋_GB2312" w:hAnsi="仿宋_GB2312" w:eastAsia="仿宋_GB2312" w:cs="仿宋_GB2312"/>
          <w:sz w:val="32"/>
          <w:szCs w:val="36"/>
          <w:highlight w:val="none"/>
          <w:lang w:val="en"/>
        </w:rPr>
      </w:pPr>
      <w:r>
        <w:rPr>
          <w:rFonts w:hint="eastAsia" w:ascii="楷体" w:hAnsi="楷体" w:eastAsia="楷体"/>
          <w:b/>
          <w:bCs/>
          <w:sz w:val="32"/>
          <w:szCs w:val="36"/>
          <w:highlight w:val="none"/>
          <w:lang w:val="en"/>
        </w:rPr>
        <w:t>（三）特殊需求。</w:t>
      </w:r>
      <w:r>
        <w:rPr>
          <w:rFonts w:hint="eastAsia" w:ascii="仿宋_GB2312" w:hAnsi="仿宋_GB2312" w:eastAsia="仿宋_GB2312" w:cs="仿宋_GB2312"/>
          <w:sz w:val="32"/>
          <w:szCs w:val="36"/>
          <w:highlight w:val="none"/>
          <w:lang w:val="en"/>
        </w:rPr>
        <w:t>有特殊路段、特殊工艺要求的道路建设和养护工程，可根据实际需要，充分论证选择适宜的沥青混合料。</w:t>
      </w:r>
    </w:p>
    <w:p>
      <w:pPr>
        <w:spacing w:before="156" w:beforeLines="50" w:line="560" w:lineRule="exact"/>
        <w:ind w:firstLine="640" w:firstLineChars="200"/>
        <w:jc w:val="left"/>
        <w:rPr>
          <w:rFonts w:ascii="黑体" w:hAnsi="黑体" w:eastAsia="黑体" w:cs="黑体"/>
          <w:sz w:val="32"/>
          <w:szCs w:val="36"/>
          <w:highlight w:val="none"/>
        </w:rPr>
      </w:pPr>
      <w:r>
        <w:rPr>
          <w:rFonts w:hint="eastAsia" w:ascii="黑体" w:hAnsi="黑体" w:eastAsia="黑体" w:cs="黑体"/>
          <w:sz w:val="32"/>
          <w:szCs w:val="36"/>
          <w:highlight w:val="none"/>
        </w:rPr>
        <w:t>五、保障措施</w:t>
      </w:r>
    </w:p>
    <w:p>
      <w:pPr>
        <w:ind w:firstLine="640" w:firstLineChars="200"/>
        <w:rPr>
          <w:rFonts w:hint="eastAsia" w:ascii="仿宋_GB2312" w:hAnsi="仿宋_GB2312" w:eastAsia="仿宋_GB2312" w:cs="仿宋_GB2312"/>
          <w:sz w:val="32"/>
          <w:szCs w:val="36"/>
          <w:highlight w:val="none"/>
          <w:lang w:val="en"/>
        </w:rPr>
      </w:pPr>
      <w:r>
        <w:rPr>
          <w:rFonts w:hint="eastAsia" w:ascii="仿宋_GB2312" w:hAnsi="仿宋_GB2312" w:eastAsia="仿宋_GB2312" w:cs="仿宋_GB2312"/>
          <w:sz w:val="32"/>
          <w:szCs w:val="36"/>
          <w:highlight w:val="none"/>
          <w:lang w:val="en"/>
        </w:rPr>
        <w:t>（一）相关部门要树立绿色发展理念，加强政策宣传，完善细化采购机制，鼓励优先采购</w:t>
      </w:r>
      <w:r>
        <w:rPr>
          <w:rFonts w:hint="eastAsia" w:ascii="仿宋_GB2312" w:hAnsi="仿宋_GB2312" w:eastAsia="仿宋_GB2312" w:cs="仿宋_GB2312"/>
          <w:sz w:val="32"/>
          <w:szCs w:val="36"/>
          <w:highlight w:val="none"/>
          <w:lang w:val="en" w:eastAsia="zh-CN"/>
        </w:rPr>
        <w:t>高星级</w:t>
      </w:r>
      <w:r>
        <w:rPr>
          <w:rFonts w:hint="eastAsia" w:ascii="仿宋_GB2312" w:hAnsi="仿宋_GB2312" w:eastAsia="仿宋_GB2312" w:cs="仿宋_GB2312"/>
          <w:sz w:val="32"/>
          <w:szCs w:val="36"/>
          <w:highlight w:val="none"/>
          <w:lang w:val="en"/>
        </w:rPr>
        <w:t>绿色沥青混合料，提高绿色沥青混合料应用比例。</w:t>
      </w:r>
    </w:p>
    <w:p>
      <w:pPr>
        <w:ind w:firstLine="640" w:firstLineChars="200"/>
        <w:rPr>
          <w:rFonts w:hint="eastAsia" w:ascii="仿宋_GB2312" w:hAnsi="仿宋_GB2312" w:eastAsia="仿宋_GB2312" w:cs="仿宋_GB2312"/>
          <w:sz w:val="32"/>
          <w:szCs w:val="36"/>
          <w:highlight w:val="none"/>
          <w:lang w:val="en"/>
        </w:rPr>
      </w:pPr>
      <w:r>
        <w:rPr>
          <w:rFonts w:hint="eastAsia" w:ascii="仿宋_GB2312" w:hAnsi="仿宋_GB2312" w:eastAsia="仿宋_GB2312" w:cs="仿宋_GB2312"/>
          <w:sz w:val="32"/>
          <w:szCs w:val="36"/>
          <w:highlight w:val="none"/>
          <w:lang w:val="en"/>
        </w:rPr>
        <w:t>（二）工程建设单位要增强执行绿色采购政策的自觉性，在项目招标、工程设计、采购需求等环节，提前调研比选，优先选择绿色沥青混合料。居民区周边区域和信访投诉热点区域优先使用温拌沥青混合料。</w:t>
      </w:r>
    </w:p>
    <w:p>
      <w:pPr>
        <w:ind w:firstLine="640" w:firstLineChars="200"/>
        <w:rPr>
          <w:rFonts w:hint="eastAsia" w:ascii="仿宋_GB2312" w:hAnsi="仿宋_GB2312" w:eastAsia="仿宋_GB2312" w:cs="仿宋_GB2312"/>
          <w:sz w:val="32"/>
          <w:szCs w:val="36"/>
          <w:highlight w:val="none"/>
          <w:lang w:val="en"/>
        </w:rPr>
      </w:pPr>
      <w:r>
        <w:rPr>
          <w:rFonts w:hint="eastAsia" w:ascii="仿宋_GB2312" w:hAnsi="仿宋_GB2312" w:eastAsia="仿宋_GB2312" w:cs="仿宋_GB2312"/>
          <w:sz w:val="32"/>
          <w:szCs w:val="36"/>
          <w:highlight w:val="none"/>
          <w:lang w:val="en"/>
        </w:rPr>
        <w:t>（三）工程实施单位要优化道路路面摊铺施工工艺，尽可能减少摊铺过程混合料无组织排放与高温持续时间。</w:t>
      </w:r>
    </w:p>
    <w:p>
      <w:pPr>
        <w:ind w:firstLine="640" w:firstLineChars="200"/>
        <w:rPr>
          <w:rFonts w:hint="eastAsia" w:ascii="仿宋_GB2312" w:hAnsi="仿宋_GB2312" w:eastAsia="仿宋_GB2312" w:cs="仿宋_GB2312"/>
          <w:sz w:val="32"/>
          <w:szCs w:val="36"/>
          <w:highlight w:val="none"/>
          <w:lang w:val="en"/>
        </w:rPr>
      </w:pPr>
      <w:r>
        <w:rPr>
          <w:rFonts w:hint="eastAsia" w:ascii="仿宋_GB2312" w:hAnsi="仿宋_GB2312" w:eastAsia="仿宋_GB2312" w:cs="仿宋_GB2312"/>
          <w:sz w:val="32"/>
          <w:szCs w:val="36"/>
          <w:highlight w:val="none"/>
          <w:lang w:val="en"/>
        </w:rPr>
        <w:t>（四）行业企业、科研院所、高等院校要发挥创新主体作用，强化科技创新驱动，持续开展沥青混合料VOCs抑制剂、降噪工艺、污染物量化评定等绿色技术的研究工作。</w:t>
      </w:r>
    </w:p>
    <w:p>
      <w:pPr>
        <w:ind w:firstLine="640" w:firstLineChars="200"/>
        <w:rPr>
          <w:rFonts w:hint="eastAsia" w:ascii="仿宋_GB2312" w:hAnsi="仿宋_GB2312" w:eastAsia="仿宋_GB2312" w:cs="仿宋_GB2312"/>
          <w:sz w:val="32"/>
          <w:szCs w:val="36"/>
          <w:highlight w:val="none"/>
          <w:lang w:val="en"/>
        </w:rPr>
      </w:pPr>
      <w:r>
        <w:rPr>
          <w:rFonts w:hint="eastAsia" w:ascii="仿宋_GB2312" w:hAnsi="仿宋_GB2312" w:eastAsia="仿宋_GB2312" w:cs="仿宋_GB2312"/>
          <w:sz w:val="32"/>
          <w:szCs w:val="36"/>
          <w:highlight w:val="none"/>
          <w:lang w:val="en"/>
        </w:rPr>
        <w:t>（五）</w:t>
      </w:r>
      <w:bookmarkStart w:id="0" w:name="_Hlk150853726"/>
      <w:r>
        <w:rPr>
          <w:rFonts w:hint="eastAsia" w:ascii="仿宋_GB2312" w:hAnsi="仿宋_GB2312" w:eastAsia="仿宋_GB2312" w:cs="仿宋_GB2312"/>
          <w:sz w:val="32"/>
          <w:szCs w:val="36"/>
          <w:highlight w:val="none"/>
          <w:lang w:val="en"/>
        </w:rPr>
        <w:t>沥青混合料场站</w:t>
      </w:r>
      <w:bookmarkEnd w:id="0"/>
      <w:r>
        <w:rPr>
          <w:rFonts w:hint="eastAsia" w:ascii="仿宋_GB2312" w:hAnsi="仿宋_GB2312" w:eastAsia="仿宋_GB2312" w:cs="仿宋_GB2312"/>
          <w:sz w:val="32"/>
          <w:szCs w:val="36"/>
          <w:highlight w:val="none"/>
          <w:lang w:val="en"/>
        </w:rPr>
        <w:t xml:space="preserve">要加强材料生产质量控制，鼓励按照《指南》搭建沥青混合料绿色评价能力，定期开展沥青混合料绿色水平的评定。 </w:t>
      </w:r>
    </w:p>
    <w:p>
      <w:pPr>
        <w:ind w:firstLine="640" w:firstLineChars="200"/>
        <w:rPr>
          <w:rFonts w:hint="eastAsia" w:ascii="仿宋_GB2312" w:hAnsi="仿宋_GB2312" w:eastAsia="仿宋_GB2312" w:cs="仿宋_GB2312"/>
          <w:sz w:val="32"/>
          <w:szCs w:val="36"/>
          <w:highlight w:val="none"/>
          <w:lang w:val="en"/>
        </w:rPr>
      </w:pPr>
      <w:r>
        <w:rPr>
          <w:rFonts w:hint="eastAsia" w:ascii="仿宋_GB2312" w:hAnsi="仿宋_GB2312" w:eastAsia="仿宋_GB2312" w:cs="仿宋_GB2312"/>
          <w:sz w:val="32"/>
          <w:szCs w:val="36"/>
          <w:highlight w:val="none"/>
          <w:lang w:val="en"/>
        </w:rPr>
        <w:t>本指导意见自公布之日起施行。</w:t>
      </w:r>
    </w:p>
    <w:p>
      <w:pPr>
        <w:ind w:firstLine="640" w:firstLineChars="200"/>
        <w:rPr>
          <w:rFonts w:hint="eastAsia" w:ascii="仿宋_GB2312" w:hAnsi="仿宋_GB2312" w:eastAsia="仿宋_GB2312" w:cs="仿宋_GB2312"/>
          <w:sz w:val="32"/>
          <w:szCs w:val="36"/>
          <w:highlight w:val="none"/>
          <w:lang w:val="en" w:eastAsia="zh-CN"/>
        </w:rPr>
      </w:pPr>
    </w:p>
    <w:p>
      <w:pPr>
        <w:ind w:firstLine="640" w:firstLineChars="200"/>
        <w:rPr>
          <w:rFonts w:hint="default" w:ascii="仿宋_GB2312" w:hAnsi="仿宋_GB2312" w:eastAsia="仿宋_GB2312" w:cs="仿宋_GB2312"/>
          <w:sz w:val="32"/>
          <w:szCs w:val="36"/>
          <w:highlight w:val="none"/>
          <w:lang w:val="en" w:eastAsia="zh-CN"/>
        </w:rPr>
      </w:pPr>
      <w:r>
        <w:rPr>
          <w:rFonts w:hint="eastAsia" w:ascii="仿宋_GB2312" w:hAnsi="仿宋_GB2312" w:eastAsia="仿宋_GB2312" w:cs="仿宋_GB2312"/>
          <w:sz w:val="32"/>
          <w:szCs w:val="36"/>
          <w:highlight w:val="none"/>
          <w:lang w:val="en" w:eastAsia="zh-CN"/>
        </w:rPr>
        <w:t>附件：</w:t>
      </w:r>
      <w:r>
        <w:rPr>
          <w:rFonts w:hint="eastAsia" w:ascii="仿宋_GB2312" w:hAnsi="仿宋_GB2312" w:eastAsia="仿宋_GB2312" w:cs="仿宋_GB2312"/>
          <w:sz w:val="32"/>
          <w:szCs w:val="36"/>
          <w:highlight w:val="none"/>
          <w:lang w:val="en-US" w:eastAsia="zh-CN"/>
        </w:rPr>
        <w:t>1</w:t>
      </w:r>
      <w:r>
        <w:rPr>
          <w:rFonts w:hint="default" w:ascii="仿宋_GB2312" w:hAnsi="仿宋_GB2312" w:eastAsia="仿宋_GB2312" w:cs="仿宋_GB2312"/>
          <w:sz w:val="32"/>
          <w:szCs w:val="36"/>
          <w:highlight w:val="none"/>
          <w:lang w:val="en" w:eastAsia="zh-CN"/>
        </w:rPr>
        <w:t>.北京市常用沥青混合料绿色测评结果</w:t>
      </w:r>
    </w:p>
    <w:p>
      <w:pPr>
        <w:spacing w:line="560" w:lineRule="exact"/>
        <w:rPr>
          <w:rFonts w:hint="default" w:ascii="仿宋_GB2312" w:hAnsi="仿宋_GB2312" w:eastAsia="仿宋_GB2312" w:cs="仿宋_GB2312"/>
          <w:sz w:val="32"/>
          <w:szCs w:val="36"/>
          <w:highlight w:val="none"/>
          <w:lang w:val="en" w:eastAsia="zh-CN"/>
        </w:rPr>
      </w:pPr>
      <w:r>
        <w:rPr>
          <w:rFonts w:hint="default" w:ascii="仿宋_GB2312" w:hAnsi="仿宋_GB2312" w:eastAsia="仿宋_GB2312" w:cs="仿宋_GB2312"/>
          <w:sz w:val="32"/>
          <w:szCs w:val="36"/>
          <w:highlight w:val="none"/>
          <w:lang w:val="en" w:eastAsia="zh-CN"/>
        </w:rPr>
        <w:t xml:space="preserve">          2.</w:t>
      </w:r>
      <w:r>
        <w:rPr>
          <w:rFonts w:hint="eastAsia" w:ascii="仿宋_GB2312" w:hAnsi="仿宋_GB2312" w:eastAsia="仿宋_GB2312" w:cs="仿宋_GB2312"/>
          <w:sz w:val="32"/>
          <w:szCs w:val="36"/>
          <w:highlight w:val="none"/>
          <w:lang w:val="en" w:eastAsia="zh-CN"/>
        </w:rPr>
        <w:t>北京</w:t>
      </w:r>
      <w:r>
        <w:rPr>
          <w:rFonts w:hint="default" w:ascii="仿宋_GB2312" w:hAnsi="仿宋_GB2312" w:eastAsia="仿宋_GB2312" w:cs="仿宋_GB2312"/>
          <w:sz w:val="32"/>
          <w:szCs w:val="36"/>
          <w:highlight w:val="none"/>
          <w:lang w:val="en" w:eastAsia="zh-CN"/>
        </w:rPr>
        <w:t>城市空间结构区域划分范围</w:t>
      </w:r>
      <w:bookmarkStart w:id="1" w:name="_GoBack"/>
      <w:bookmarkEnd w:id="1"/>
    </w:p>
    <w:p>
      <w:pPr>
        <w:spacing w:line="560" w:lineRule="exact"/>
        <w:ind w:firstLine="640" w:firstLineChars="200"/>
        <w:rPr>
          <w:rFonts w:ascii="仿宋_GB2312" w:hAnsi="仿宋_GB2312" w:eastAsia="仿宋_GB2312" w:cs="仿宋_GB2312"/>
          <w:sz w:val="32"/>
          <w:szCs w:val="36"/>
          <w:highlight w:val="none"/>
        </w:rPr>
      </w:pPr>
    </w:p>
    <w:p>
      <w:pPr>
        <w:spacing w:line="560" w:lineRule="exact"/>
        <w:ind w:firstLine="640" w:firstLineChars="200"/>
        <w:rPr>
          <w:rFonts w:ascii="仿宋_GB2312" w:hAnsi="仿宋_GB2312" w:eastAsia="仿宋_GB2312" w:cs="仿宋_GB2312"/>
          <w:sz w:val="32"/>
          <w:szCs w:val="36"/>
          <w:highlight w:val="none"/>
        </w:rPr>
        <w:sectPr>
          <w:footerReference r:id="rId3" w:type="default"/>
          <w:pgSz w:w="11906" w:h="16838"/>
          <w:pgMar w:top="1440" w:right="1800" w:bottom="1440" w:left="1800" w:header="851" w:footer="992" w:gutter="0"/>
          <w:cols w:space="425" w:num="1"/>
          <w:docGrid w:type="lines" w:linePitch="312" w:charSpace="0"/>
        </w:sectPr>
      </w:pPr>
    </w:p>
    <w:p>
      <w:pPr>
        <w:spacing w:before="156" w:beforeLines="50" w:line="560" w:lineRule="exact"/>
        <w:jc w:val="left"/>
        <w:rPr>
          <w:rFonts w:ascii="仿宋_GB2312" w:hAnsi="黑体" w:eastAsia="仿宋_GB2312" w:cs="黑体"/>
          <w:sz w:val="32"/>
          <w:szCs w:val="36"/>
          <w:highlight w:val="none"/>
        </w:rPr>
      </w:pPr>
      <w:r>
        <w:rPr>
          <w:rFonts w:hint="eastAsia" w:ascii="仿宋_GB2312" w:hAnsi="黑体" w:eastAsia="仿宋_GB2312" w:cs="黑体"/>
          <w:sz w:val="32"/>
          <w:szCs w:val="36"/>
          <w:highlight w:val="none"/>
        </w:rPr>
        <w:t>附件</w:t>
      </w:r>
      <w:r>
        <w:rPr>
          <w:rFonts w:hint="default" w:ascii="仿宋_GB2312" w:hAnsi="黑体" w:eastAsia="仿宋_GB2312" w:cs="黑体"/>
          <w:sz w:val="32"/>
          <w:szCs w:val="36"/>
          <w:highlight w:val="none"/>
          <w:lang w:val="en"/>
        </w:rPr>
        <w:t>:</w:t>
      </w:r>
      <w:r>
        <w:rPr>
          <w:rFonts w:hint="eastAsia" w:ascii="仿宋_GB2312" w:hAnsi="黑体" w:eastAsia="仿宋_GB2312" w:cs="黑体"/>
          <w:sz w:val="32"/>
          <w:szCs w:val="36"/>
          <w:highlight w:val="none"/>
        </w:rPr>
        <w:t>1</w:t>
      </w:r>
    </w:p>
    <w:p>
      <w:pPr>
        <w:spacing w:line="560" w:lineRule="exact"/>
        <w:jc w:val="center"/>
        <w:rPr>
          <w:rFonts w:ascii="仿宋_GB2312" w:hAnsi="仿宋_GB2312" w:eastAsia="仿宋_GB2312" w:cs="仿宋_GB2312"/>
          <w:b/>
          <w:bCs/>
          <w:sz w:val="20"/>
          <w:szCs w:val="21"/>
          <w:highlight w:val="none"/>
        </w:rPr>
      </w:pPr>
      <w:r>
        <w:rPr>
          <w:rFonts w:hint="eastAsia" w:ascii="仿宋_GB2312" w:hAnsi="仿宋_GB2312" w:eastAsia="仿宋_GB2312" w:cs="仿宋_GB2312"/>
          <w:b/>
          <w:bCs/>
          <w:highlight w:val="none"/>
        </w:rPr>
        <w:t>北京市常用沥青混合料绿色测评结果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86"/>
        <w:gridCol w:w="2393"/>
        <w:gridCol w:w="1696"/>
        <w:gridCol w:w="128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52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沥青混合料类型</w:t>
            </w:r>
          </w:p>
        </w:tc>
        <w:tc>
          <w:tcPr>
            <w:tcW w:w="1288" w:type="dxa"/>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评价</w:t>
            </w:r>
          </w:p>
          <w:p>
            <w:pPr>
              <w:jc w:val="center"/>
              <w:rPr>
                <w:rFonts w:ascii="仿宋_GB2312" w:hAnsi="仿宋_GB2312" w:eastAsia="仿宋_GB2312" w:cs="仿宋_GB2312"/>
                <w:highlight w:val="none"/>
                <w:vertAlign w:val="superscript"/>
              </w:rPr>
            </w:pPr>
            <w:r>
              <w:rPr>
                <w:rFonts w:hint="eastAsia" w:ascii="仿宋_GB2312" w:hAnsi="仿宋_GB2312" w:eastAsia="仿宋_GB2312" w:cs="仿宋_GB2312"/>
                <w:highlight w:val="none"/>
              </w:rPr>
              <w:t>得分</w:t>
            </w:r>
            <w:r>
              <w:rPr>
                <w:rFonts w:hint="eastAsia" w:ascii="仿宋_GB2312" w:hAnsi="仿宋_GB2312" w:eastAsia="仿宋_GB2312" w:cs="仿宋_GB2312"/>
                <w:highlight w:val="none"/>
                <w:vertAlign w:val="superscript"/>
              </w:rPr>
              <w:t>④</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w:t>
            </w:r>
          </w:p>
        </w:tc>
        <w:tc>
          <w:tcPr>
            <w:tcW w:w="3579" w:type="dxa"/>
            <w:gridSpan w:val="2"/>
            <w:vMerge w:val="restart"/>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密级配沥青混合料（AC）</w:t>
            </w:r>
          </w:p>
        </w:tc>
        <w:tc>
          <w:tcPr>
            <w:tcW w:w="1696" w:type="dxa"/>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普通沥青</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2</w:t>
            </w:r>
          </w:p>
        </w:tc>
        <w:tc>
          <w:tcPr>
            <w:tcW w:w="3579" w:type="dxa"/>
            <w:gridSpan w:val="2"/>
            <w:vMerge w:val="continue"/>
            <w:vAlign w:val="center"/>
          </w:tcPr>
          <w:p>
            <w:pPr>
              <w:jc w:val="center"/>
              <w:rPr>
                <w:rFonts w:ascii="仿宋_GB2312" w:hAnsi="仿宋_GB2312" w:eastAsia="仿宋_GB2312" w:cs="仿宋_GB2312"/>
                <w:highlight w:val="none"/>
              </w:rPr>
            </w:pPr>
          </w:p>
        </w:tc>
        <w:tc>
          <w:tcPr>
            <w:tcW w:w="1696" w:type="dxa"/>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改性沥青</w:t>
            </w:r>
            <w:r>
              <w:rPr>
                <w:rFonts w:hint="eastAsia" w:ascii="仿宋_GB2312" w:hAnsi="仿宋_GB2312" w:eastAsia="仿宋_GB2312" w:cs="仿宋_GB2312"/>
                <w:highlight w:val="none"/>
                <w:vertAlign w:val="superscript"/>
              </w:rPr>
              <w:t>①</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3</w:t>
            </w:r>
          </w:p>
        </w:tc>
        <w:tc>
          <w:tcPr>
            <w:tcW w:w="52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沥青玛蹄脂碎石混合料（SMA）</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4</w:t>
            </w:r>
          </w:p>
        </w:tc>
        <w:tc>
          <w:tcPr>
            <w:tcW w:w="52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大孔隙开级配排水式沥青磨耗层（OGFC）</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60≤Q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&lt;70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5</w:t>
            </w:r>
          </w:p>
        </w:tc>
        <w:tc>
          <w:tcPr>
            <w:tcW w:w="3579" w:type="dxa"/>
            <w:gridSpan w:val="2"/>
            <w:vMerge w:val="restart"/>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密级配沥青稳定碎石混合料（ATB）</w:t>
            </w: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普通沥青</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6</w:t>
            </w:r>
          </w:p>
        </w:tc>
        <w:tc>
          <w:tcPr>
            <w:tcW w:w="3579" w:type="dxa"/>
            <w:gridSpan w:val="2"/>
            <w:vMerge w:val="continue"/>
            <w:vAlign w:val="center"/>
          </w:tcPr>
          <w:p>
            <w:pPr>
              <w:jc w:val="center"/>
              <w:rPr>
                <w:rFonts w:ascii="仿宋_GB2312" w:hAnsi="仿宋_GB2312" w:eastAsia="仿宋_GB2312" w:cs="仿宋_GB2312"/>
                <w:highlight w:val="none"/>
              </w:rPr>
            </w:pP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改性沥青</w:t>
            </w:r>
            <w:r>
              <w:rPr>
                <w:rFonts w:hint="eastAsia" w:ascii="仿宋_GB2312" w:hAnsi="仿宋_GB2312" w:eastAsia="仿宋_GB2312" w:cs="仿宋_GB2312"/>
                <w:highlight w:val="none"/>
                <w:vertAlign w:val="superscript"/>
              </w:rPr>
              <w:t>①</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60≤Q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&lt;70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7</w:t>
            </w:r>
          </w:p>
        </w:tc>
        <w:tc>
          <w:tcPr>
            <w:tcW w:w="3579" w:type="dxa"/>
            <w:gridSpan w:val="2"/>
            <w:vMerge w:val="restart"/>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密级配沥青稳定碎石混合料（AM）</w:t>
            </w: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普通沥青</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8</w:t>
            </w:r>
          </w:p>
        </w:tc>
        <w:tc>
          <w:tcPr>
            <w:tcW w:w="3579" w:type="dxa"/>
            <w:gridSpan w:val="2"/>
            <w:vMerge w:val="continue"/>
            <w:vAlign w:val="center"/>
          </w:tcPr>
          <w:p>
            <w:pPr>
              <w:jc w:val="center"/>
              <w:rPr>
                <w:rFonts w:ascii="仿宋_GB2312" w:hAnsi="仿宋_GB2312" w:eastAsia="仿宋_GB2312" w:cs="仿宋_GB2312"/>
                <w:highlight w:val="none"/>
              </w:rPr>
            </w:pP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改性沥青</w:t>
            </w:r>
            <w:r>
              <w:rPr>
                <w:rFonts w:hint="eastAsia" w:ascii="仿宋_GB2312" w:hAnsi="仿宋_GB2312" w:eastAsia="仿宋_GB2312" w:cs="仿宋_GB2312"/>
                <w:highlight w:val="none"/>
                <w:vertAlign w:val="superscript"/>
              </w:rPr>
              <w:t>①</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&lt;60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9</w:t>
            </w:r>
          </w:p>
        </w:tc>
        <w:tc>
          <w:tcPr>
            <w:tcW w:w="52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橡胶沥青混合料（ARAC）</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&lt;60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10</w:t>
            </w:r>
          </w:p>
        </w:tc>
        <w:tc>
          <w:tcPr>
            <w:tcW w:w="1186" w:type="dxa"/>
            <w:vMerge w:val="restart"/>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温拌沥青混合料</w:t>
            </w:r>
            <w:r>
              <w:rPr>
                <w:rFonts w:hint="eastAsia" w:ascii="仿宋_GB2312" w:hAnsi="仿宋_GB2312" w:eastAsia="仿宋_GB2312" w:cs="仿宋_GB2312"/>
                <w:highlight w:val="none"/>
                <w:vertAlign w:val="superscript"/>
              </w:rPr>
              <w:t>②</w:t>
            </w:r>
          </w:p>
        </w:tc>
        <w:tc>
          <w:tcPr>
            <w:tcW w:w="2393" w:type="dxa"/>
            <w:vMerge w:val="restart"/>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温拌普通沥青混合料（WAC）</w:t>
            </w: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普通沥青</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80≤Q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&lt;90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11</w:t>
            </w:r>
          </w:p>
        </w:tc>
        <w:tc>
          <w:tcPr>
            <w:tcW w:w="1186" w:type="dxa"/>
            <w:vMerge w:val="continue"/>
            <w:vAlign w:val="center"/>
          </w:tcPr>
          <w:p>
            <w:pPr>
              <w:jc w:val="center"/>
              <w:rPr>
                <w:rFonts w:ascii="仿宋_GB2312" w:hAnsi="仿宋_GB2312" w:eastAsia="仿宋_GB2312" w:cs="仿宋_GB2312"/>
                <w:highlight w:val="none"/>
              </w:rPr>
            </w:pPr>
          </w:p>
        </w:tc>
        <w:tc>
          <w:tcPr>
            <w:tcW w:w="2393" w:type="dxa"/>
            <w:vMerge w:val="continue"/>
            <w:vAlign w:val="center"/>
          </w:tcPr>
          <w:p>
            <w:pPr>
              <w:jc w:val="center"/>
              <w:rPr>
                <w:rFonts w:ascii="仿宋_GB2312" w:hAnsi="仿宋_GB2312" w:eastAsia="仿宋_GB2312" w:cs="仿宋_GB2312"/>
                <w:highlight w:val="none"/>
              </w:rPr>
            </w:pP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改性沥青</w:t>
            </w:r>
            <w:r>
              <w:rPr>
                <w:rFonts w:hint="eastAsia" w:ascii="仿宋_GB2312" w:hAnsi="仿宋_GB2312" w:eastAsia="仿宋_GB2312" w:cs="仿宋_GB2312"/>
                <w:highlight w:val="none"/>
                <w:vertAlign w:val="superscript"/>
              </w:rPr>
              <w:t>①</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80≤Q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&lt;90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12</w:t>
            </w:r>
          </w:p>
        </w:tc>
        <w:tc>
          <w:tcPr>
            <w:tcW w:w="1186" w:type="dxa"/>
            <w:vMerge w:val="continue"/>
            <w:vAlign w:val="center"/>
          </w:tcPr>
          <w:p>
            <w:pPr>
              <w:jc w:val="center"/>
              <w:rPr>
                <w:rFonts w:ascii="仿宋_GB2312" w:hAnsi="仿宋_GB2312" w:eastAsia="仿宋_GB2312" w:cs="仿宋_GB2312"/>
                <w:highlight w:val="none"/>
              </w:rPr>
            </w:pPr>
          </w:p>
        </w:tc>
        <w:tc>
          <w:tcPr>
            <w:tcW w:w="4089" w:type="dxa"/>
            <w:gridSpan w:val="2"/>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温拌沥青玛蹄脂碎石混合料（WSMA）</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80≤Q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&lt;90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13</w:t>
            </w:r>
          </w:p>
        </w:tc>
        <w:tc>
          <w:tcPr>
            <w:tcW w:w="1186" w:type="dxa"/>
            <w:vMerge w:val="continue"/>
            <w:vAlign w:val="center"/>
          </w:tcPr>
          <w:p>
            <w:pPr>
              <w:jc w:val="center"/>
              <w:rPr>
                <w:rFonts w:ascii="仿宋_GB2312" w:hAnsi="仿宋_GB2312" w:eastAsia="仿宋_GB2312" w:cs="仿宋_GB2312"/>
                <w:highlight w:val="none"/>
              </w:rPr>
            </w:pPr>
          </w:p>
        </w:tc>
        <w:tc>
          <w:tcPr>
            <w:tcW w:w="2393"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温拌密级配沥青稳定碎石混合料（WATB）</w:t>
            </w: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普通沥青</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14</w:t>
            </w:r>
          </w:p>
        </w:tc>
        <w:tc>
          <w:tcPr>
            <w:tcW w:w="1186" w:type="dxa"/>
            <w:vMerge w:val="continue"/>
            <w:vAlign w:val="center"/>
          </w:tcPr>
          <w:p>
            <w:pPr>
              <w:jc w:val="center"/>
              <w:rPr>
                <w:rFonts w:ascii="仿宋_GB2312" w:hAnsi="仿宋_GB2312" w:eastAsia="仿宋_GB2312" w:cs="仿宋_GB2312"/>
                <w:highlight w:val="none"/>
              </w:rPr>
            </w:pPr>
          </w:p>
        </w:tc>
        <w:tc>
          <w:tcPr>
            <w:tcW w:w="2393"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温拌密级配沥青稳定碎石混合料（WAM）</w:t>
            </w: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普通沥青</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80≤Q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&lt;90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1186" w:type="dxa"/>
            <w:vMerge w:val="continue"/>
            <w:vAlign w:val="center"/>
          </w:tcPr>
          <w:p>
            <w:pPr>
              <w:jc w:val="center"/>
              <w:rPr>
                <w:rFonts w:ascii="仿宋_GB2312" w:hAnsi="仿宋_GB2312" w:eastAsia="仿宋_GB2312" w:cs="仿宋_GB2312"/>
                <w:highlight w:val="none"/>
              </w:rPr>
            </w:pPr>
          </w:p>
        </w:tc>
        <w:tc>
          <w:tcPr>
            <w:tcW w:w="4089" w:type="dxa"/>
            <w:gridSpan w:val="2"/>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温拌橡胶沥青混合料（WARAC）</w:t>
            </w:r>
          </w:p>
        </w:tc>
        <w:tc>
          <w:tcPr>
            <w:tcW w:w="1288" w:type="dxa"/>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16</w:t>
            </w:r>
          </w:p>
        </w:tc>
        <w:tc>
          <w:tcPr>
            <w:tcW w:w="1186" w:type="dxa"/>
            <w:vMerge w:val="restart"/>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再生沥青混合料</w:t>
            </w:r>
            <w:r>
              <w:rPr>
                <w:rFonts w:hint="eastAsia" w:ascii="仿宋_GB2312" w:hAnsi="仿宋_GB2312" w:eastAsia="仿宋_GB2312" w:cs="仿宋_GB2312"/>
                <w:highlight w:val="none"/>
                <w:vertAlign w:val="superscript"/>
              </w:rPr>
              <w:t>③</w:t>
            </w:r>
          </w:p>
        </w:tc>
        <w:tc>
          <w:tcPr>
            <w:tcW w:w="2393" w:type="dxa"/>
            <w:vMerge w:val="restart"/>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再生普通沥青混合料（ZAC）</w:t>
            </w: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普通沥青</w:t>
            </w:r>
          </w:p>
        </w:tc>
        <w:tc>
          <w:tcPr>
            <w:tcW w:w="1288" w:type="dxa"/>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17</w:t>
            </w:r>
          </w:p>
        </w:tc>
        <w:tc>
          <w:tcPr>
            <w:tcW w:w="1186" w:type="dxa"/>
            <w:vMerge w:val="continue"/>
            <w:vAlign w:val="center"/>
          </w:tcPr>
          <w:p>
            <w:pPr>
              <w:jc w:val="center"/>
              <w:rPr>
                <w:rFonts w:ascii="仿宋_GB2312" w:hAnsi="仿宋_GB2312" w:eastAsia="仿宋_GB2312" w:cs="仿宋_GB2312"/>
                <w:highlight w:val="none"/>
              </w:rPr>
            </w:pPr>
          </w:p>
        </w:tc>
        <w:tc>
          <w:tcPr>
            <w:tcW w:w="2393" w:type="dxa"/>
            <w:vMerge w:val="continue"/>
            <w:vAlign w:val="center"/>
          </w:tcPr>
          <w:p>
            <w:pPr>
              <w:jc w:val="center"/>
              <w:rPr>
                <w:rFonts w:ascii="仿宋_GB2312" w:hAnsi="仿宋_GB2312" w:eastAsia="仿宋_GB2312" w:cs="仿宋_GB2312"/>
                <w:highlight w:val="none"/>
              </w:rPr>
            </w:pP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改性沥青①</w:t>
            </w:r>
          </w:p>
        </w:tc>
        <w:tc>
          <w:tcPr>
            <w:tcW w:w="1288" w:type="dxa"/>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18</w:t>
            </w:r>
          </w:p>
        </w:tc>
        <w:tc>
          <w:tcPr>
            <w:tcW w:w="1186" w:type="dxa"/>
            <w:vMerge w:val="continue"/>
            <w:vAlign w:val="center"/>
          </w:tcPr>
          <w:p>
            <w:pPr>
              <w:jc w:val="center"/>
              <w:rPr>
                <w:rFonts w:ascii="仿宋_GB2312" w:hAnsi="仿宋_GB2312" w:eastAsia="仿宋_GB2312" w:cs="仿宋_GB2312"/>
                <w:highlight w:val="none"/>
              </w:rPr>
            </w:pPr>
          </w:p>
        </w:tc>
        <w:tc>
          <w:tcPr>
            <w:tcW w:w="4089" w:type="dxa"/>
            <w:gridSpan w:val="2"/>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再生沥青玛蹄脂碎石混合料（ZSMA）</w:t>
            </w:r>
          </w:p>
        </w:tc>
        <w:tc>
          <w:tcPr>
            <w:tcW w:w="1288" w:type="dxa"/>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19</w:t>
            </w:r>
          </w:p>
        </w:tc>
        <w:tc>
          <w:tcPr>
            <w:tcW w:w="1186" w:type="dxa"/>
            <w:vMerge w:val="continue"/>
            <w:vAlign w:val="center"/>
          </w:tcPr>
          <w:p>
            <w:pPr>
              <w:jc w:val="center"/>
              <w:rPr>
                <w:rFonts w:ascii="仿宋_GB2312" w:hAnsi="仿宋_GB2312" w:eastAsia="仿宋_GB2312" w:cs="仿宋_GB2312"/>
                <w:highlight w:val="none"/>
              </w:rPr>
            </w:pPr>
          </w:p>
        </w:tc>
        <w:tc>
          <w:tcPr>
            <w:tcW w:w="2393"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再生密级配沥青稳定碎石混合料（ZATB）</w:t>
            </w: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普通沥青</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60≤Q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&lt;70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20</w:t>
            </w:r>
          </w:p>
        </w:tc>
        <w:tc>
          <w:tcPr>
            <w:tcW w:w="1186" w:type="dxa"/>
            <w:vMerge w:val="continue"/>
            <w:vAlign w:val="center"/>
          </w:tcPr>
          <w:p>
            <w:pPr>
              <w:jc w:val="center"/>
              <w:rPr>
                <w:rFonts w:ascii="仿宋_GB2312" w:hAnsi="仿宋_GB2312" w:eastAsia="仿宋_GB2312" w:cs="仿宋_GB2312"/>
                <w:highlight w:val="none"/>
              </w:rPr>
            </w:pPr>
          </w:p>
        </w:tc>
        <w:tc>
          <w:tcPr>
            <w:tcW w:w="2393"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再生密级配沥青稳定碎石混合料（ZAM）</w:t>
            </w:r>
          </w:p>
        </w:tc>
        <w:tc>
          <w:tcPr>
            <w:tcW w:w="1696"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普通沥青</w:t>
            </w:r>
          </w:p>
        </w:tc>
        <w:tc>
          <w:tcPr>
            <w:tcW w:w="1288"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70≤Q</w:t>
            </w:r>
            <w:r>
              <w:rPr>
                <w:rFonts w:ascii="Times New Roman" w:hAnsi="Times New Roman" w:eastAsia="仿宋_GB2312" w:cs="Times New Roman"/>
                <w:highlight w:val="none"/>
                <w:vertAlign w:val="subscript"/>
              </w:rPr>
              <w:t>总</w:t>
            </w:r>
            <w:r>
              <w:rPr>
                <w:rFonts w:ascii="Times New Roman" w:hAnsi="Times New Roman" w:eastAsia="仿宋_GB2312" w:cs="Times New Roman"/>
                <w:highlight w:val="none"/>
              </w:rPr>
              <w:t>&lt;80</w:t>
            </w:r>
          </w:p>
        </w:tc>
        <w:tc>
          <w:tcPr>
            <w:tcW w:w="1059"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r>
    </w:tbl>
    <w:p>
      <w:pPr>
        <w:jc w:val="left"/>
        <w:rPr>
          <w:rFonts w:ascii="仿宋_GB2312" w:hAnsi="仿宋_GB2312" w:eastAsia="仿宋_GB2312" w:cs="仿宋_GB2312"/>
          <w:highlight w:val="none"/>
        </w:rPr>
      </w:pPr>
      <w:r>
        <w:rPr>
          <w:rFonts w:hint="eastAsia" w:ascii="仿宋_GB2312" w:hAnsi="仿宋_GB2312" w:eastAsia="仿宋_GB2312" w:cs="仿宋_GB2312"/>
          <w:highlight w:val="none"/>
        </w:rPr>
        <w:t>备注：①密级配沥青混合料改性沥青不涉及橡胶沥青；</w:t>
      </w:r>
    </w:p>
    <w:p>
      <w:pPr>
        <w:ind w:firstLine="630" w:firstLineChars="300"/>
        <w:jc w:val="left"/>
        <w:rPr>
          <w:rFonts w:ascii="仿宋_GB2312" w:hAnsi="仿宋_GB2312" w:eastAsia="仿宋_GB2312" w:cs="仿宋_GB2312"/>
          <w:highlight w:val="none"/>
        </w:rPr>
      </w:pPr>
      <w:r>
        <w:rPr>
          <w:rFonts w:hint="eastAsia" w:ascii="仿宋_GB2312" w:hAnsi="仿宋_GB2312" w:eastAsia="仿宋_GB2312" w:cs="仿宋_GB2312"/>
          <w:highlight w:val="none"/>
        </w:rPr>
        <w:t>②温拌沥青混合料的拌和温度较同类型热拌沥青混合料降低</w:t>
      </w:r>
      <w:r>
        <w:rPr>
          <w:rFonts w:ascii="仿宋_GB2312" w:hAnsi="仿宋_GB2312" w:eastAsia="仿宋_GB2312" w:cs="仿宋_GB2312"/>
          <w:highlight w:val="none"/>
        </w:rPr>
        <w:t>30</w:t>
      </w:r>
      <w:r>
        <w:rPr>
          <w:rFonts w:hint="eastAsia" w:ascii="仿宋_GB2312" w:hAnsi="仿宋_GB2312" w:eastAsia="仿宋_GB2312" w:cs="仿宋_GB2312"/>
          <w:highlight w:val="none"/>
        </w:rPr>
        <w:t>℃及以上；</w:t>
      </w:r>
    </w:p>
    <w:p>
      <w:pPr>
        <w:ind w:firstLine="630" w:firstLineChars="300"/>
        <w:jc w:val="left"/>
        <w:rPr>
          <w:rFonts w:ascii="仿宋_GB2312" w:hAnsi="仿宋_GB2312" w:eastAsia="仿宋_GB2312" w:cs="仿宋_GB2312"/>
          <w:highlight w:val="none"/>
        </w:rPr>
      </w:pPr>
      <w:r>
        <w:rPr>
          <w:rFonts w:hint="eastAsia" w:ascii="仿宋_GB2312" w:hAnsi="仿宋_GB2312" w:eastAsia="仿宋_GB2312" w:cs="仿宋_GB2312"/>
          <w:highlight w:val="none"/>
        </w:rPr>
        <w:t>③再生沥青混合料再生比例</w:t>
      </w:r>
      <w:r>
        <w:rPr>
          <w:rFonts w:ascii="仿宋_GB2312" w:hAnsi="仿宋_GB2312" w:eastAsia="仿宋_GB2312" w:cs="仿宋_GB2312"/>
          <w:highlight w:val="none"/>
        </w:rPr>
        <w:t>2</w:t>
      </w:r>
      <w:r>
        <w:rPr>
          <w:rFonts w:hint="eastAsia" w:ascii="仿宋_GB2312" w:hAnsi="仿宋_GB2312" w:eastAsia="仿宋_GB2312" w:cs="仿宋_GB2312"/>
          <w:highlight w:val="none"/>
        </w:rPr>
        <w:t>0%</w:t>
      </w:r>
      <w:r>
        <w:rPr>
          <w:rFonts w:ascii="仿宋_GB2312" w:hAnsi="仿宋_GB2312" w:eastAsia="仿宋_GB2312" w:cs="仿宋_GB2312"/>
          <w:highlight w:val="none"/>
        </w:rPr>
        <w:t>-40%</w:t>
      </w:r>
      <w:r>
        <w:rPr>
          <w:rFonts w:hint="eastAsia" w:ascii="仿宋_GB2312" w:hAnsi="仿宋_GB2312" w:eastAsia="仿宋_GB2312" w:cs="仿宋_GB2312"/>
          <w:highlight w:val="none"/>
        </w:rPr>
        <w:t>；</w:t>
      </w:r>
    </w:p>
    <w:p>
      <w:pPr>
        <w:ind w:firstLine="630" w:firstLineChars="30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④按照《指南》第6章评价方法，Q</w:t>
      </w:r>
      <w:r>
        <w:rPr>
          <w:rFonts w:hint="eastAsia" w:ascii="仿宋_GB2312" w:hAnsi="仿宋_GB2312" w:eastAsia="仿宋_GB2312" w:cs="仿宋_GB2312"/>
          <w:highlight w:val="none"/>
          <w:vertAlign w:val="subscript"/>
        </w:rPr>
        <w:t>总</w:t>
      </w:r>
      <w:r>
        <w:rPr>
          <w:rFonts w:hint="eastAsia" w:ascii="仿宋_GB2312" w:hAnsi="仿宋_GB2312" w:eastAsia="仿宋_GB2312" w:cs="仿宋_GB2312"/>
          <w:highlight w:val="none"/>
        </w:rPr>
        <w:t>为沥青混合料绿色评价分值；</w:t>
      </w:r>
    </w:p>
    <w:p>
      <w:pPr>
        <w:ind w:firstLine="630" w:firstLineChars="300"/>
        <w:jc w:val="left"/>
        <w:rPr>
          <w:rFonts w:ascii="仿宋_GB2312" w:hAnsi="仿宋_GB2312" w:eastAsia="仿宋_GB2312" w:cs="仿宋_GB2312"/>
          <w:highlight w:val="none"/>
        </w:rPr>
      </w:pPr>
      <w:r>
        <w:rPr>
          <w:rFonts w:hint="eastAsia" w:ascii="仿宋_GB2312" w:hAnsi="仿宋_GB2312" w:eastAsia="仿宋_GB2312" w:cs="仿宋_GB2312"/>
          <w:highlight w:val="none"/>
        </w:rPr>
        <w:t>⑤本表未包含的沥青混合料，</w:t>
      </w:r>
      <w:r>
        <w:rPr>
          <w:rFonts w:hint="eastAsia" w:ascii="仿宋_GB2312" w:hAnsi="仿宋_GB2312" w:eastAsia="仿宋_GB2312" w:cs="仿宋_GB2312"/>
          <w:highlight w:val="none"/>
          <w:lang w:eastAsia="zh-CN"/>
        </w:rPr>
        <w:t>生产厂家</w:t>
      </w:r>
      <w:r>
        <w:rPr>
          <w:rFonts w:hint="eastAsia" w:ascii="仿宋_GB2312" w:hAnsi="仿宋_GB2312" w:eastAsia="仿宋_GB2312" w:cs="仿宋_GB2312"/>
          <w:highlight w:val="none"/>
        </w:rPr>
        <w:t>可自行开展评测。</w:t>
      </w:r>
    </w:p>
    <w:p>
      <w:pPr>
        <w:spacing w:line="560" w:lineRule="exact"/>
        <w:ind w:firstLine="640" w:firstLineChars="200"/>
        <w:rPr>
          <w:rFonts w:ascii="仿宋_GB2312" w:hAnsi="仿宋" w:eastAsia="仿宋_GB2312"/>
          <w:bCs/>
          <w:snapToGrid w:val="0"/>
          <w:color w:val="000000"/>
          <w:kern w:val="36"/>
          <w:sz w:val="32"/>
          <w:szCs w:val="32"/>
          <w:highlight w:val="none"/>
          <w:u w:color="000000"/>
        </w:rPr>
        <w:sectPr>
          <w:pgSz w:w="11906" w:h="16838"/>
          <w:pgMar w:top="1440" w:right="1800" w:bottom="1440" w:left="1800" w:header="851" w:footer="992" w:gutter="0"/>
          <w:cols w:space="425" w:num="1"/>
          <w:docGrid w:type="lines" w:linePitch="312" w:charSpace="0"/>
        </w:sectPr>
      </w:pPr>
    </w:p>
    <w:p>
      <w:pPr>
        <w:spacing w:line="560" w:lineRule="exact"/>
        <w:rPr>
          <w:rFonts w:hint="default" w:ascii="仿宋_GB2312" w:hAnsi="仿宋" w:eastAsia="仿宋_GB2312"/>
          <w:bCs/>
          <w:snapToGrid w:val="0"/>
          <w:color w:val="000000"/>
          <w:kern w:val="36"/>
          <w:sz w:val="32"/>
          <w:szCs w:val="32"/>
          <w:highlight w:val="none"/>
          <w:u w:color="000000"/>
          <w:lang w:val="en" w:eastAsia="zh-CN"/>
        </w:rPr>
      </w:pPr>
      <w:r>
        <w:rPr>
          <w:rFonts w:hint="eastAsia" w:ascii="仿宋_GB2312" w:hAnsi="仿宋" w:eastAsia="仿宋_GB2312"/>
          <w:bCs/>
          <w:snapToGrid w:val="0"/>
          <w:color w:val="000000"/>
          <w:kern w:val="36"/>
          <w:sz w:val="32"/>
          <w:szCs w:val="32"/>
          <w:highlight w:val="none"/>
          <w:u w:color="000000"/>
        </w:rPr>
        <w:t>附件</w:t>
      </w:r>
      <w:r>
        <w:rPr>
          <w:rFonts w:hint="default" w:ascii="仿宋_GB2312" w:hAnsi="仿宋" w:eastAsia="仿宋_GB2312"/>
          <w:bCs/>
          <w:snapToGrid w:val="0"/>
          <w:color w:val="000000"/>
          <w:kern w:val="36"/>
          <w:sz w:val="32"/>
          <w:szCs w:val="32"/>
          <w:highlight w:val="none"/>
          <w:u w:color="000000"/>
          <w:lang w:val="en"/>
        </w:rPr>
        <w:t>:</w:t>
      </w:r>
      <w:r>
        <w:rPr>
          <w:rFonts w:hint="eastAsia" w:ascii="仿宋_GB2312" w:hAnsi="仿宋" w:eastAsia="仿宋_GB2312"/>
          <w:bCs/>
          <w:snapToGrid w:val="0"/>
          <w:color w:val="000000"/>
          <w:kern w:val="36"/>
          <w:sz w:val="32"/>
          <w:szCs w:val="32"/>
          <w:highlight w:val="none"/>
          <w:u w:color="000000"/>
        </w:rPr>
        <w:t>2</w:t>
      </w:r>
    </w:p>
    <w:p>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_GB2312" w:eastAsia="仿宋_GB2312" w:cs="仿宋_GB2312"/>
          <w:sz w:val="32"/>
          <w:szCs w:val="36"/>
          <w:highlight w:val="none"/>
          <w:lang w:val="en"/>
        </w:rPr>
        <w:t>依据《北京城市总体规划(2016年—2035年)》，</w:t>
      </w:r>
      <w:r>
        <w:rPr>
          <w:rFonts w:hint="eastAsia" w:ascii="仿宋_GB2312" w:hAnsi="仿宋" w:eastAsia="仿宋_GB2312" w:cs="黑体"/>
          <w:color w:val="000000"/>
          <w:sz w:val="32"/>
          <w:szCs w:val="32"/>
          <w:highlight w:val="none"/>
        </w:rPr>
        <w:t>城市空间结构区域划分范围：</w:t>
      </w:r>
    </w:p>
    <w:p>
      <w:pPr>
        <w:spacing w:line="560" w:lineRule="exact"/>
        <w:ind w:firstLine="640" w:firstLineChars="200"/>
        <w:rPr>
          <w:rFonts w:ascii="仿宋_GB2312" w:hAnsi="仿宋_GB2312" w:eastAsia="仿宋_GB2312" w:cs="仿宋_GB2312"/>
          <w:sz w:val="32"/>
          <w:szCs w:val="36"/>
          <w:highlight w:val="none"/>
          <w:lang w:val="en"/>
        </w:rPr>
      </w:pPr>
      <w:r>
        <w:rPr>
          <w:rFonts w:hint="eastAsia" w:ascii="仿宋_GB2312" w:hAnsi="仿宋" w:eastAsia="仿宋_GB2312" w:cs="黑体"/>
          <w:color w:val="000000"/>
          <w:sz w:val="32"/>
          <w:szCs w:val="32"/>
          <w:highlight w:val="none"/>
        </w:rPr>
        <w:t>1.</w:t>
      </w:r>
      <w:r>
        <w:rPr>
          <w:rFonts w:hint="eastAsia" w:ascii="仿宋_GB2312" w:hAnsi="仿宋_GB2312" w:eastAsia="仿宋_GB2312" w:cs="仿宋_GB2312"/>
          <w:b/>
          <w:bCs/>
          <w:sz w:val="32"/>
          <w:szCs w:val="36"/>
          <w:highlight w:val="none"/>
          <w:lang w:val="en"/>
        </w:rPr>
        <w:t>首都功能核心区</w:t>
      </w:r>
      <w:r>
        <w:rPr>
          <w:rFonts w:hint="eastAsia" w:ascii="仿宋_GB2312" w:hAnsi="仿宋_GB2312" w:eastAsia="仿宋_GB2312" w:cs="仿宋_GB2312"/>
          <w:sz w:val="32"/>
          <w:szCs w:val="36"/>
          <w:highlight w:val="none"/>
          <w:lang w:val="en"/>
        </w:rPr>
        <w:t>：总面积约92.5平方公里。</w:t>
      </w:r>
    </w:p>
    <w:p>
      <w:pPr>
        <w:spacing w:line="560" w:lineRule="exact"/>
        <w:ind w:firstLine="640" w:firstLineChars="200"/>
        <w:rPr>
          <w:rFonts w:ascii="仿宋_GB2312" w:hAnsi="仿宋_GB2312" w:eastAsia="仿宋_GB2312" w:cs="仿宋_GB2312"/>
          <w:sz w:val="32"/>
          <w:szCs w:val="36"/>
          <w:highlight w:val="none"/>
          <w:lang w:val="en"/>
        </w:rPr>
      </w:pPr>
      <w:r>
        <w:rPr>
          <w:rFonts w:ascii="仿宋_GB2312" w:hAnsi="仿宋_GB2312" w:eastAsia="仿宋_GB2312" w:cs="仿宋_GB2312"/>
          <w:sz w:val="32"/>
          <w:szCs w:val="36"/>
          <w:highlight w:val="none"/>
          <w:lang w:val="en"/>
        </w:rPr>
        <w:t>2</w:t>
      </w:r>
      <w:r>
        <w:rPr>
          <w:rFonts w:hint="eastAsia" w:ascii="仿宋_GB2312" w:hAnsi="仿宋_GB2312" w:eastAsia="仿宋_GB2312" w:cs="仿宋_GB2312"/>
          <w:sz w:val="32"/>
          <w:szCs w:val="36"/>
          <w:highlight w:val="none"/>
          <w:lang w:val="en"/>
        </w:rPr>
        <w:t>.</w:t>
      </w:r>
      <w:r>
        <w:rPr>
          <w:rFonts w:hint="eastAsia" w:ascii="仿宋_GB2312" w:hAnsi="仿宋_GB2312" w:eastAsia="仿宋_GB2312" w:cs="仿宋_GB2312"/>
          <w:b/>
          <w:bCs/>
          <w:sz w:val="32"/>
          <w:szCs w:val="36"/>
          <w:highlight w:val="none"/>
          <w:lang w:val="en"/>
        </w:rPr>
        <w:t>北京城市副中心</w:t>
      </w:r>
      <w:r>
        <w:rPr>
          <w:rFonts w:hint="eastAsia" w:ascii="仿宋_GB2312" w:hAnsi="仿宋_GB2312" w:eastAsia="仿宋_GB2312" w:cs="仿宋_GB2312"/>
          <w:sz w:val="32"/>
          <w:szCs w:val="36"/>
          <w:highlight w:val="none"/>
          <w:lang w:val="en"/>
        </w:rPr>
        <w:t>：规划范围为原通州新城规划建设区，总面积约155平方公里。</w:t>
      </w:r>
    </w:p>
    <w:p>
      <w:pPr>
        <w:spacing w:line="560" w:lineRule="exact"/>
        <w:ind w:firstLine="640" w:firstLineChars="200"/>
        <w:rPr>
          <w:rFonts w:ascii="仿宋_GB2312" w:hAnsi="仿宋_GB2312" w:eastAsia="仿宋_GB2312" w:cs="仿宋_GB2312"/>
          <w:sz w:val="32"/>
          <w:szCs w:val="36"/>
          <w:highlight w:val="none"/>
          <w:lang w:val="en"/>
        </w:rPr>
      </w:pPr>
      <w:r>
        <w:rPr>
          <w:rFonts w:hint="eastAsia" w:ascii="仿宋_GB2312" w:hAnsi="仿宋_GB2312" w:eastAsia="仿宋_GB2312" w:cs="仿宋_GB2312"/>
          <w:sz w:val="32"/>
          <w:szCs w:val="36"/>
          <w:highlight w:val="none"/>
          <w:lang w:val="en"/>
        </w:rPr>
        <w:t xml:space="preserve">3. </w:t>
      </w:r>
      <w:r>
        <w:rPr>
          <w:rFonts w:hint="eastAsia" w:ascii="仿宋_GB2312" w:hAnsi="仿宋_GB2312" w:eastAsia="仿宋_GB2312" w:cs="仿宋_GB2312"/>
          <w:b/>
          <w:bCs/>
          <w:sz w:val="32"/>
          <w:szCs w:val="36"/>
          <w:highlight w:val="none"/>
          <w:lang w:val="en"/>
        </w:rPr>
        <w:t>中心城区</w:t>
      </w:r>
      <w:r>
        <w:rPr>
          <w:rFonts w:hint="eastAsia" w:ascii="仿宋_GB2312" w:hAnsi="仿宋_GB2312" w:eastAsia="仿宋_GB2312" w:cs="仿宋_GB2312"/>
          <w:sz w:val="32"/>
          <w:szCs w:val="36"/>
          <w:highlight w:val="none"/>
          <w:lang w:val="en"/>
        </w:rPr>
        <w:t>：东城区、西城区、朝阳区、海淀区、丰台区、石景山区。</w:t>
      </w:r>
    </w:p>
    <w:p>
      <w:pPr>
        <w:spacing w:line="560" w:lineRule="exact"/>
        <w:ind w:firstLine="640" w:firstLineChars="200"/>
        <w:rPr>
          <w:rFonts w:ascii="仿宋_GB2312" w:hAnsi="仿宋_GB2312" w:eastAsia="仿宋_GB2312" w:cs="仿宋_GB2312"/>
          <w:sz w:val="32"/>
          <w:szCs w:val="36"/>
          <w:highlight w:val="none"/>
          <w:lang w:val="en"/>
        </w:rPr>
      </w:pPr>
      <w:r>
        <w:rPr>
          <w:rFonts w:ascii="仿宋_GB2312" w:hAnsi="仿宋_GB2312" w:eastAsia="仿宋_GB2312" w:cs="仿宋_GB2312"/>
          <w:sz w:val="32"/>
          <w:szCs w:val="36"/>
          <w:highlight w:val="none"/>
          <w:lang w:val="en"/>
        </w:rPr>
        <w:t>4</w:t>
      </w:r>
      <w:r>
        <w:rPr>
          <w:rFonts w:hint="eastAsia" w:ascii="仿宋_GB2312" w:hAnsi="仿宋_GB2312" w:eastAsia="仿宋_GB2312" w:cs="仿宋_GB2312"/>
          <w:sz w:val="32"/>
          <w:szCs w:val="36"/>
          <w:highlight w:val="none"/>
          <w:lang w:val="en"/>
        </w:rPr>
        <w:t>.</w:t>
      </w:r>
      <w:r>
        <w:rPr>
          <w:rFonts w:hint="eastAsia" w:ascii="仿宋_GB2312" w:hAnsi="仿宋_GB2312" w:eastAsia="仿宋_GB2312" w:cs="仿宋_GB2312"/>
          <w:b/>
          <w:bCs/>
          <w:sz w:val="32"/>
          <w:szCs w:val="36"/>
          <w:highlight w:val="none"/>
          <w:lang w:val="en"/>
        </w:rPr>
        <w:t>平原新城</w:t>
      </w:r>
      <w:r>
        <w:rPr>
          <w:rFonts w:hint="eastAsia" w:ascii="仿宋_GB2312" w:hAnsi="仿宋_GB2312" w:eastAsia="仿宋_GB2312" w:cs="仿宋_GB2312"/>
          <w:sz w:val="32"/>
          <w:szCs w:val="36"/>
          <w:highlight w:val="none"/>
          <w:lang w:val="en"/>
        </w:rPr>
        <w:t>：顺义、大兴、亦庄、昌平、房山新城。</w:t>
      </w:r>
    </w:p>
    <w:p>
      <w:pPr>
        <w:spacing w:line="560" w:lineRule="exact"/>
        <w:ind w:firstLine="640" w:firstLineChars="200"/>
        <w:rPr>
          <w:rFonts w:ascii="仿宋_GB2312" w:hAnsi="仿宋_GB2312" w:eastAsia="仿宋_GB2312" w:cs="仿宋_GB2312"/>
          <w:sz w:val="32"/>
          <w:szCs w:val="36"/>
          <w:highlight w:val="none"/>
          <w:lang w:val="en"/>
        </w:rPr>
      </w:pPr>
      <w:r>
        <w:rPr>
          <w:rFonts w:hint="eastAsia" w:ascii="仿宋_GB2312" w:hAnsi="仿宋_GB2312" w:eastAsia="仿宋_GB2312" w:cs="仿宋_GB2312"/>
          <w:sz w:val="32"/>
          <w:szCs w:val="36"/>
          <w:highlight w:val="none"/>
          <w:lang w:val="en"/>
        </w:rPr>
        <w:t>5.</w:t>
      </w:r>
      <w:r>
        <w:rPr>
          <w:rFonts w:hint="eastAsia" w:ascii="仿宋_GB2312" w:hAnsi="仿宋_GB2312" w:eastAsia="仿宋_GB2312" w:cs="仿宋_GB2312"/>
          <w:b/>
          <w:bCs/>
          <w:sz w:val="32"/>
          <w:szCs w:val="36"/>
          <w:highlight w:val="none"/>
          <w:lang w:val="en"/>
        </w:rPr>
        <w:t>生态涵养区</w:t>
      </w:r>
      <w:r>
        <w:rPr>
          <w:rFonts w:hint="eastAsia" w:ascii="仿宋_GB2312" w:hAnsi="仿宋_GB2312" w:eastAsia="仿宋_GB2312" w:cs="仿宋_GB2312"/>
          <w:sz w:val="32"/>
          <w:szCs w:val="36"/>
          <w:highlight w:val="none"/>
          <w:lang w:val="en"/>
        </w:rPr>
        <w:t>：门头沟区、平谷区、怀柔区、密云区、延庆区，以及昌平区和房山区的山区。</w:t>
      </w:r>
    </w:p>
    <w:p>
      <w:pPr>
        <w:spacing w:line="560" w:lineRule="exact"/>
        <w:ind w:firstLine="640" w:firstLineChars="200"/>
        <w:rPr>
          <w:rFonts w:ascii="仿宋_GB2312" w:hAnsi="仿宋_GB2312" w:eastAsia="仿宋_GB2312" w:cs="仿宋_GB2312"/>
          <w:sz w:val="32"/>
          <w:szCs w:val="36"/>
          <w:highlight w:val="none"/>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1A0F3C52" w:usb2="00000010" w:usb3="00000000" w:csb0="0004001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125917"/>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94"/>
    <w:rsid w:val="00093DD0"/>
    <w:rsid w:val="000C3C73"/>
    <w:rsid w:val="000E093C"/>
    <w:rsid w:val="00101FD0"/>
    <w:rsid w:val="001130B4"/>
    <w:rsid w:val="0013709F"/>
    <w:rsid w:val="0016565F"/>
    <w:rsid w:val="0019306F"/>
    <w:rsid w:val="001B2094"/>
    <w:rsid w:val="001B4268"/>
    <w:rsid w:val="001B6765"/>
    <w:rsid w:val="001B6E2A"/>
    <w:rsid w:val="00212828"/>
    <w:rsid w:val="002403AD"/>
    <w:rsid w:val="00243B9A"/>
    <w:rsid w:val="00281A14"/>
    <w:rsid w:val="0029600B"/>
    <w:rsid w:val="002B4719"/>
    <w:rsid w:val="002C14C4"/>
    <w:rsid w:val="00347D12"/>
    <w:rsid w:val="00392D4E"/>
    <w:rsid w:val="003E3BB0"/>
    <w:rsid w:val="003E62DA"/>
    <w:rsid w:val="00400A65"/>
    <w:rsid w:val="00404342"/>
    <w:rsid w:val="00411DF7"/>
    <w:rsid w:val="0041477A"/>
    <w:rsid w:val="004411FB"/>
    <w:rsid w:val="00506048"/>
    <w:rsid w:val="0053383C"/>
    <w:rsid w:val="005B73E0"/>
    <w:rsid w:val="005C4CF8"/>
    <w:rsid w:val="005E0A73"/>
    <w:rsid w:val="006276DB"/>
    <w:rsid w:val="00665546"/>
    <w:rsid w:val="006769AA"/>
    <w:rsid w:val="006B07B4"/>
    <w:rsid w:val="00703CD6"/>
    <w:rsid w:val="00780C54"/>
    <w:rsid w:val="00795C91"/>
    <w:rsid w:val="00897DC0"/>
    <w:rsid w:val="008A26BF"/>
    <w:rsid w:val="008C7603"/>
    <w:rsid w:val="008D459D"/>
    <w:rsid w:val="008E61B3"/>
    <w:rsid w:val="00905180"/>
    <w:rsid w:val="00950233"/>
    <w:rsid w:val="009902F2"/>
    <w:rsid w:val="00A3175C"/>
    <w:rsid w:val="00A8360E"/>
    <w:rsid w:val="00AB1081"/>
    <w:rsid w:val="00AE29B0"/>
    <w:rsid w:val="00B13832"/>
    <w:rsid w:val="00B15ADD"/>
    <w:rsid w:val="00B30A15"/>
    <w:rsid w:val="00B41A30"/>
    <w:rsid w:val="00B65C13"/>
    <w:rsid w:val="00B85553"/>
    <w:rsid w:val="00BE2320"/>
    <w:rsid w:val="00BF23C1"/>
    <w:rsid w:val="00BF38C4"/>
    <w:rsid w:val="00C55980"/>
    <w:rsid w:val="00C823BF"/>
    <w:rsid w:val="00CE3AC2"/>
    <w:rsid w:val="00D051D6"/>
    <w:rsid w:val="00D21434"/>
    <w:rsid w:val="00D243AE"/>
    <w:rsid w:val="00D55D0E"/>
    <w:rsid w:val="00E02977"/>
    <w:rsid w:val="00E100AA"/>
    <w:rsid w:val="00E162EE"/>
    <w:rsid w:val="00E418FB"/>
    <w:rsid w:val="00E50830"/>
    <w:rsid w:val="00E61DFF"/>
    <w:rsid w:val="00E67272"/>
    <w:rsid w:val="00EA66D0"/>
    <w:rsid w:val="00F264E8"/>
    <w:rsid w:val="00F76C4E"/>
    <w:rsid w:val="00FA59CD"/>
    <w:rsid w:val="00FD6CDA"/>
    <w:rsid w:val="00FE3D03"/>
    <w:rsid w:val="07362615"/>
    <w:rsid w:val="0E7EE3C2"/>
    <w:rsid w:val="0F925843"/>
    <w:rsid w:val="1FBEC5CC"/>
    <w:rsid w:val="1FFBB725"/>
    <w:rsid w:val="2BFF821A"/>
    <w:rsid w:val="2EDBA2A6"/>
    <w:rsid w:val="2EFF5E67"/>
    <w:rsid w:val="31FE69C1"/>
    <w:rsid w:val="33FB9420"/>
    <w:rsid w:val="35FE6EF5"/>
    <w:rsid w:val="35FF265A"/>
    <w:rsid w:val="37F72E58"/>
    <w:rsid w:val="381DED52"/>
    <w:rsid w:val="3BEE9577"/>
    <w:rsid w:val="3EFE3B0B"/>
    <w:rsid w:val="46A77575"/>
    <w:rsid w:val="533BD9E0"/>
    <w:rsid w:val="55B29A6A"/>
    <w:rsid w:val="57FF3835"/>
    <w:rsid w:val="5ACB50A3"/>
    <w:rsid w:val="5D5FDC1D"/>
    <w:rsid w:val="5E7F293E"/>
    <w:rsid w:val="5EADFA57"/>
    <w:rsid w:val="5EF81A07"/>
    <w:rsid w:val="5FF5248B"/>
    <w:rsid w:val="5FFCEF84"/>
    <w:rsid w:val="67FF7253"/>
    <w:rsid w:val="6AFD56AB"/>
    <w:rsid w:val="6EB69023"/>
    <w:rsid w:val="6FAF61FF"/>
    <w:rsid w:val="6FCF807A"/>
    <w:rsid w:val="733F6AE7"/>
    <w:rsid w:val="74BB1336"/>
    <w:rsid w:val="76FBB08C"/>
    <w:rsid w:val="77ABE1E1"/>
    <w:rsid w:val="77DE0F86"/>
    <w:rsid w:val="77DF9F7D"/>
    <w:rsid w:val="77F2FB75"/>
    <w:rsid w:val="7B2F04DC"/>
    <w:rsid w:val="7D744113"/>
    <w:rsid w:val="7D7F2E52"/>
    <w:rsid w:val="7DB47023"/>
    <w:rsid w:val="7DDD6F0B"/>
    <w:rsid w:val="7ECF1EB5"/>
    <w:rsid w:val="7EF73192"/>
    <w:rsid w:val="7F3FA7A0"/>
    <w:rsid w:val="7F737DC3"/>
    <w:rsid w:val="7F7FD534"/>
    <w:rsid w:val="7F97E356"/>
    <w:rsid w:val="7FB6F63E"/>
    <w:rsid w:val="7FBFDEE9"/>
    <w:rsid w:val="7FDE1BE2"/>
    <w:rsid w:val="7FEF2EDE"/>
    <w:rsid w:val="7FFBACD2"/>
    <w:rsid w:val="7FFFA72C"/>
    <w:rsid w:val="87F717FC"/>
    <w:rsid w:val="89FB80A0"/>
    <w:rsid w:val="8D7F342D"/>
    <w:rsid w:val="94FF9E62"/>
    <w:rsid w:val="97FF2537"/>
    <w:rsid w:val="A5FF1152"/>
    <w:rsid w:val="A7D73C36"/>
    <w:rsid w:val="AF777602"/>
    <w:rsid w:val="B36FCF52"/>
    <w:rsid w:val="B67FDCFB"/>
    <w:rsid w:val="BBB310F3"/>
    <w:rsid w:val="BBEE6348"/>
    <w:rsid w:val="BEFFC976"/>
    <w:rsid w:val="BF5E0261"/>
    <w:rsid w:val="C64F1695"/>
    <w:rsid w:val="D3DE2D13"/>
    <w:rsid w:val="DAFE2A76"/>
    <w:rsid w:val="DB4F9AD7"/>
    <w:rsid w:val="DCFA0C5F"/>
    <w:rsid w:val="DDCDE8AC"/>
    <w:rsid w:val="DE4E2195"/>
    <w:rsid w:val="DF7D6B03"/>
    <w:rsid w:val="DF7E5E37"/>
    <w:rsid w:val="DFB5019E"/>
    <w:rsid w:val="DFBDB44F"/>
    <w:rsid w:val="DFE30BEB"/>
    <w:rsid w:val="DFF78F8A"/>
    <w:rsid w:val="E56D8CFD"/>
    <w:rsid w:val="E7EFE375"/>
    <w:rsid w:val="E8DAAFE2"/>
    <w:rsid w:val="E8FE9635"/>
    <w:rsid w:val="E9FB24FB"/>
    <w:rsid w:val="EBF9C063"/>
    <w:rsid w:val="EDFF2663"/>
    <w:rsid w:val="F1D79966"/>
    <w:rsid w:val="F3FE958D"/>
    <w:rsid w:val="F6BE7F8C"/>
    <w:rsid w:val="F6F81FDA"/>
    <w:rsid w:val="F6FE1BE5"/>
    <w:rsid w:val="F7EFC841"/>
    <w:rsid w:val="F7FDDF38"/>
    <w:rsid w:val="FA7FB4D2"/>
    <w:rsid w:val="FB3FFBB0"/>
    <w:rsid w:val="FB6D40A0"/>
    <w:rsid w:val="FBFB37EB"/>
    <w:rsid w:val="FCEF94F4"/>
    <w:rsid w:val="FEBBEAC8"/>
    <w:rsid w:val="FEC7C1A8"/>
    <w:rsid w:val="FEFF7960"/>
    <w:rsid w:val="FF9FBD5C"/>
    <w:rsid w:val="FFBF2333"/>
    <w:rsid w:val="FFDFC47A"/>
    <w:rsid w:val="FFF5D4FC"/>
    <w:rsid w:val="FFFB3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362</Words>
  <Characters>2065</Characters>
  <Lines>17</Lines>
  <Paragraphs>4</Paragraphs>
  <TotalTime>0</TotalTime>
  <ScaleCrop>false</ScaleCrop>
  <LinksUpToDate>false</LinksUpToDate>
  <CharactersWithSpaces>2423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2023-10-12T20:02:00Z</dcterms:created>
  <dc:creator>542148259@qq.com</dc:creator>
  <cp:lastModifiedBy>卫文哲</cp:lastModifiedBy>
  <cp:lastPrinted>2023-10-13T10:47:00Z</cp:lastPrinted>
  <dcterms:modified xsi:type="dcterms:W3CDTF">2023-11-20T11:19:37Z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