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大豆收获机和大豆收获专用割台补贴额一览表</w:t>
      </w:r>
    </w:p>
    <w:p>
      <w:pPr>
        <w:pStyle w:val="2"/>
      </w:pPr>
    </w:p>
    <w:tbl>
      <w:tblPr>
        <w:tblStyle w:val="7"/>
        <w:tblW w:w="0" w:type="auto"/>
        <w:tblInd w:w="-226" w:type="dxa"/>
        <w:tblLayout w:type="fixed"/>
        <w:tblCellMar>
          <w:top w:w="0" w:type="dxa"/>
          <w:left w:w="108" w:type="dxa"/>
          <w:bottom w:w="0" w:type="dxa"/>
          <w:right w:w="108" w:type="dxa"/>
        </w:tblCellMar>
      </w:tblPr>
      <w:tblGrid>
        <w:gridCol w:w="599"/>
        <w:gridCol w:w="581"/>
        <w:gridCol w:w="658"/>
        <w:gridCol w:w="2181"/>
        <w:gridCol w:w="6380"/>
        <w:gridCol w:w="2117"/>
        <w:gridCol w:w="1376"/>
      </w:tblGrid>
      <w:tr>
        <w:tblPrEx>
          <w:tblCellMar>
            <w:top w:w="0" w:type="dxa"/>
            <w:left w:w="108" w:type="dxa"/>
            <w:bottom w:w="0" w:type="dxa"/>
            <w:right w:w="108" w:type="dxa"/>
          </w:tblCellMar>
        </w:tblPrEx>
        <w:trPr>
          <w:trHeight w:val="864" w:hRule="atLeast"/>
        </w:trPr>
        <w:tc>
          <w:tcPr>
            <w:tcW w:w="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left="-105" w:leftChars="-50" w:right="-105" w:rightChars="-50"/>
              <w:jc w:val="center"/>
              <w:rPr>
                <w:rFonts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机具大类</w:t>
            </w:r>
          </w:p>
        </w:tc>
        <w:tc>
          <w:tcPr>
            <w:tcW w:w="581"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ind w:left="-105" w:leftChars="-50" w:right="-105" w:rightChars="-50"/>
              <w:jc w:val="center"/>
              <w:rPr>
                <w:rFonts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机具小类</w:t>
            </w:r>
          </w:p>
        </w:tc>
        <w:tc>
          <w:tcPr>
            <w:tcW w:w="658"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ind w:left="-105" w:leftChars="-50" w:right="-105" w:rightChars="-50"/>
              <w:jc w:val="center"/>
              <w:rPr>
                <w:rFonts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机具品目</w:t>
            </w:r>
          </w:p>
        </w:tc>
        <w:tc>
          <w:tcPr>
            <w:tcW w:w="2181"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ind w:left="-105" w:leftChars="-50" w:right="-105" w:rightChars="-50"/>
              <w:jc w:val="center"/>
              <w:rPr>
                <w:rFonts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分档名称</w:t>
            </w:r>
          </w:p>
        </w:tc>
        <w:tc>
          <w:tcPr>
            <w:tcW w:w="6380"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ind w:left="-105" w:leftChars="-50" w:right="-105" w:rightChars="-50"/>
              <w:jc w:val="center"/>
              <w:rPr>
                <w:rFonts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基本配置和参数要求</w:t>
            </w:r>
          </w:p>
        </w:tc>
        <w:tc>
          <w:tcPr>
            <w:tcW w:w="2117" w:type="dxa"/>
            <w:tcBorders>
              <w:top w:val="single" w:color="auto" w:sz="4" w:space="0"/>
              <w:left w:val="nil"/>
              <w:bottom w:val="single" w:color="auto" w:sz="4" w:space="0"/>
              <w:right w:val="single" w:color="auto" w:sz="4" w:space="0"/>
            </w:tcBorders>
            <w:noWrap w:val="0"/>
            <w:vAlign w:val="center"/>
          </w:tcPr>
          <w:p>
            <w:pPr>
              <w:widowControl/>
              <w:adjustRightInd w:val="0"/>
              <w:snapToGrid w:val="0"/>
              <w:ind w:left="-105" w:leftChars="-50" w:right="-105" w:rightChars="-50"/>
              <w:jc w:val="center"/>
              <w:rPr>
                <w:rFonts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中央资金最高补贴额（元）</w:t>
            </w:r>
          </w:p>
        </w:tc>
        <w:tc>
          <w:tcPr>
            <w:tcW w:w="1376" w:type="dxa"/>
            <w:tcBorders>
              <w:top w:val="single" w:color="auto" w:sz="4" w:space="0"/>
              <w:left w:val="nil"/>
              <w:bottom w:val="single" w:color="auto" w:sz="4" w:space="0"/>
              <w:right w:val="single" w:color="auto" w:sz="4" w:space="0"/>
            </w:tcBorders>
            <w:noWrap w:val="0"/>
            <w:vAlign w:val="center"/>
          </w:tcPr>
          <w:p>
            <w:pPr>
              <w:widowControl/>
              <w:adjustRightInd w:val="0"/>
              <w:snapToGrid w:val="0"/>
              <w:ind w:left="-105" w:leftChars="-50" w:right="-105" w:rightChars="-50"/>
              <w:jc w:val="center"/>
              <w:rPr>
                <w:rFonts w:ascii="CESI黑体-GB2312" w:hAnsi="CESI黑体-GB2312" w:eastAsia="CESI黑体-GB2312" w:cs="CESI黑体-GB2312"/>
                <w:color w:val="000000"/>
                <w:kern w:val="0"/>
                <w:sz w:val="24"/>
                <w:szCs w:val="24"/>
              </w:rPr>
            </w:pPr>
            <w:r>
              <w:rPr>
                <w:rFonts w:hint="eastAsia" w:ascii="CESI黑体-GB2312" w:hAnsi="CESI黑体-GB2312" w:eastAsia="CESI黑体-GB2312" w:cs="CESI黑体-GB2312"/>
                <w:color w:val="000000"/>
                <w:kern w:val="0"/>
                <w:sz w:val="24"/>
                <w:szCs w:val="24"/>
              </w:rPr>
              <w:t>备注</w:t>
            </w:r>
          </w:p>
        </w:tc>
      </w:tr>
      <w:tr>
        <w:tblPrEx>
          <w:tblCellMar>
            <w:top w:w="0" w:type="dxa"/>
            <w:left w:w="108" w:type="dxa"/>
            <w:bottom w:w="0" w:type="dxa"/>
            <w:right w:w="108" w:type="dxa"/>
          </w:tblCellMar>
        </w:tblPrEx>
        <w:trPr>
          <w:trHeight w:val="864" w:hRule="atLeast"/>
        </w:trPr>
        <w:tc>
          <w:tcPr>
            <w:tcW w:w="59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收获机械</w:t>
            </w:r>
          </w:p>
        </w:tc>
        <w:tc>
          <w:tcPr>
            <w:tcW w:w="58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油料作物收获机械</w:t>
            </w:r>
          </w:p>
        </w:tc>
        <w:tc>
          <w:tcPr>
            <w:tcW w:w="6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大豆收获机</w:t>
            </w: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1.5-2kg/s自走轮式大豆收获机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结构型式：自走轮式；全喂入；1.5kg/s≤喂入量＜2kg/s；拨禾轮型式：弹齿式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864"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2-3kg/s自走轮式大豆收获机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结构型式：自走轮式；全喂入；2kg/s≤喂入量＜3kg/s；拨禾轮型式：弹齿式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11700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32"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3-4kg/s自走轮式大豆收获机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结构型式：自走轮式；全喂入；3kg/s≤喂入量＜4kg/s；拨禾轮型式：弹齿式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12900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32"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4-5kg/s自走轮式大豆收获机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结构型式：自走轮式；全喂入；4kg/s≤喂入量＜5kg/s；拨禾轮型式：弹齿式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32"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5-6kg/s自走轮式大豆收获机</w:t>
            </w:r>
          </w:p>
        </w:tc>
        <w:tc>
          <w:tcPr>
            <w:tcW w:w="638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结构型式：自走轮式；全喂入；5kg/s≤喂入量＜6kg/s；拨禾轮型式：弹齿式</w:t>
            </w:r>
          </w:p>
        </w:tc>
        <w:tc>
          <w:tcPr>
            <w:tcW w:w="211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35600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648"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6-7kg/s自走轮式大豆收获机</w:t>
            </w:r>
          </w:p>
        </w:tc>
        <w:tc>
          <w:tcPr>
            <w:tcW w:w="638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结构型式：自走轮式；全喂入；6kg/s≤喂入量＜7kg/s；拨禾轮型式：弹齿式</w:t>
            </w:r>
          </w:p>
        </w:tc>
        <w:tc>
          <w:tcPr>
            <w:tcW w:w="211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37900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7kg/s及以上自走轮式大豆收获机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结构型式：自走轮式；全喂入；喂入量≥7kg/s；拨禾轮型式：弹齿式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40300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0.6-1kg/s自走履带式大豆收获机</w:t>
            </w:r>
          </w:p>
        </w:tc>
        <w:tc>
          <w:tcPr>
            <w:tcW w:w="6380"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w:t>
            </w:r>
            <w:r>
              <w:rPr>
                <w:rFonts w:hint="eastAsia" w:ascii="仿宋_GB2312" w:hAnsi="仿宋_GB2312" w:eastAsia="仿宋_GB2312" w:cs="仿宋_GB2312"/>
                <w:color w:val="000000"/>
                <w:kern w:val="0"/>
                <w:sz w:val="24"/>
                <w:szCs w:val="24"/>
              </w:rPr>
              <w:t>：自走履带式；全喂入；0.6kg/s≤喂入量＜1kg/s；</w:t>
            </w:r>
            <w:r>
              <w:rPr>
                <w:rFonts w:hint="eastAsia" w:ascii="仿宋_GB2312" w:hAnsi="仿宋_GB2312" w:eastAsia="仿宋_GB2312" w:cs="仿宋_GB2312"/>
                <w:kern w:val="0"/>
                <w:sz w:val="24"/>
                <w:szCs w:val="24"/>
              </w:rPr>
              <w:t>拨禾轮型式：弹齿式</w:t>
            </w:r>
          </w:p>
        </w:tc>
        <w:tc>
          <w:tcPr>
            <w:tcW w:w="2117"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7500</w:t>
            </w:r>
          </w:p>
        </w:tc>
        <w:tc>
          <w:tcPr>
            <w:tcW w:w="1376" w:type="dxa"/>
            <w:tcBorders>
              <w:top w:val="single" w:color="auto" w:sz="4" w:space="0"/>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1-1.5kg/s自走履带式大豆收获机</w:t>
            </w:r>
          </w:p>
        </w:tc>
        <w:tc>
          <w:tcPr>
            <w:tcW w:w="6380"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结构型式：自走履带式；全喂入；1kg/s≤喂入量＜1.5kg/s；拨禾轮型式：弹齿式</w:t>
            </w:r>
          </w:p>
        </w:tc>
        <w:tc>
          <w:tcPr>
            <w:tcW w:w="2117"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9200</w:t>
            </w:r>
          </w:p>
        </w:tc>
        <w:tc>
          <w:tcPr>
            <w:tcW w:w="1376" w:type="dxa"/>
            <w:tcBorders>
              <w:top w:val="single" w:color="auto" w:sz="4" w:space="0"/>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1.5-2.1kg/s自走履带式大豆收获机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结构型式：自走履带式；全喂入；1.5kg/s≤喂入量＜2.1kg/s；拨禾轮型式：弹齿式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2.1-3kg/s自走履带式大豆收获机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结构型式：自走履带式；全喂入；2.1kg/s≤喂入量＜3kg/s；拨禾轮型式：弹齿式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24600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3-4kg/s自走履带式大豆收获机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结构型式：自走履带式；全喂入；3kg/s≤喂入量＜4kg/s；拨禾轮型式：弹齿式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28800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94"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4kg/s及以上自走履带式大豆收获机</w:t>
            </w:r>
          </w:p>
        </w:tc>
        <w:tc>
          <w:tcPr>
            <w:tcW w:w="6380"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结构型式：自走履带式；全喂入；喂入量≥4kg/s；拨禾轮型式：弹齿式</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31300</w:t>
            </w:r>
          </w:p>
        </w:tc>
        <w:tc>
          <w:tcPr>
            <w:tcW w:w="1376"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864"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收获割台</w:t>
            </w:r>
          </w:p>
        </w:tc>
        <w:tc>
          <w:tcPr>
            <w:tcW w:w="6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大豆收获专用割台</w:t>
            </w:r>
          </w:p>
        </w:tc>
        <w:tc>
          <w:tcPr>
            <w:tcW w:w="21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1.5m及以上大豆收获专用割台</w:t>
            </w:r>
          </w:p>
        </w:tc>
        <w:tc>
          <w:tcPr>
            <w:tcW w:w="638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工作幅宽≥1500mm；拨禾轮拨指材料：非金属</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w:t>
            </w:r>
          </w:p>
        </w:tc>
        <w:tc>
          <w:tcPr>
            <w:tcW w:w="1376"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295"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2.5-5m大豆收获挠性专用割台</w:t>
            </w:r>
          </w:p>
        </w:tc>
        <w:tc>
          <w:tcPr>
            <w:tcW w:w="638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2500mm≤工作幅宽＜5000mm；结构型式：全喂入挠式，滑板数量不少于3段；仿形机构型式：四连杆机械仿形或电液控制液压仿形；仿形量</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垂直水平面方向</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≥90mm</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6000</w:t>
            </w:r>
          </w:p>
        </w:tc>
        <w:tc>
          <w:tcPr>
            <w:tcW w:w="1376"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271" w:hRule="atLeast"/>
        </w:trPr>
        <w:tc>
          <w:tcPr>
            <w:tcW w:w="59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8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6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21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5m及以上大豆收获挠性专用割台</w:t>
            </w:r>
          </w:p>
        </w:tc>
        <w:tc>
          <w:tcPr>
            <w:tcW w:w="638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工作幅宽≥5000mm；结构型式：全喂入挠式，滑板数量不少于3段；仿形机构型式：四连杆机械仿形或电液控制液压仿形；仿形量</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垂直水平面方向</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≥90mm </w:t>
            </w:r>
          </w:p>
        </w:tc>
        <w:tc>
          <w:tcPr>
            <w:tcW w:w="211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c>
          <w:tcPr>
            <w:tcW w:w="1376"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kern w:val="0"/>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10"/>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35C3A6D"/>
    <w:rsid w:val="535C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uppressAutoHyphens/>
      <w:ind w:firstLine="420"/>
    </w:pPr>
    <w:rPr>
      <w:szCs w:val="24"/>
    </w:rPr>
  </w:style>
  <w:style w:type="paragraph" w:styleId="3">
    <w:name w:val="Body Text Indent"/>
    <w:basedOn w:val="1"/>
    <w:next w:val="4"/>
    <w:qFormat/>
    <w:uiPriority w:val="0"/>
    <w:pPr>
      <w:ind w:firstLine="420"/>
    </w:pPr>
  </w:style>
  <w:style w:type="paragraph" w:styleId="4">
    <w:name w:val="Normal Indent"/>
    <w:basedOn w:val="1"/>
    <w:next w:val="1"/>
    <w:qFormat/>
    <w:uiPriority w:val="0"/>
    <w:pPr>
      <w:ind w:firstLine="640" w:firstLineChars="200"/>
    </w:pPr>
  </w:style>
  <w:style w:type="paragraph" w:styleId="5">
    <w:name w:val="footer"/>
    <w:basedOn w:val="1"/>
    <w:next w:val="4"/>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paragraph" w:customStyle="1" w:styleId="10">
    <w:name w:val="Char"/>
    <w:basedOn w:val="11"/>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11">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2023-10-23T09:41:00Z</dcterms:created>
  <dc:creator>友情提醒</dc:creator>
  <cp:lastModifiedBy>友情提醒</cp:lastModifiedBy>
  <dcterms:modified xsi:type="dcterms:W3CDTF">2023-10-23T09:41:12Z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0353E268947B42669320F79639E923CF_11</vt:lpwstr>
  </property>
</Properties>
</file>