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2023年一季度产值增长奖励</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申报办事指南</w:t>
      </w:r>
    </w:p>
    <w:p>
      <w:pPr>
        <w:spacing w:line="560" w:lineRule="exact"/>
        <w:rPr>
          <w:rFonts w:ascii="仿宋_GB2312" w:hAnsi="仿宋_GB2312" w:eastAsia="仿宋_GB2312" w:cs="仿宋_GB2312"/>
          <w:sz w:val="32"/>
          <w:szCs w:val="32"/>
        </w:rPr>
      </w:pPr>
    </w:p>
    <w:p>
      <w:pPr>
        <w:spacing w:line="60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60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rPr>
        <w:t>《北京经济技术开发区关于推动复工复产 支持企业高质量发展的若干措施》中第</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条，支持工业企业增资扩产。对于2023年一季度产值增速为正的规模以上工业企业（新注册、迁入或新增规模以上工业企业产值同比基数为500万</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），增速低于6%的企业，给予一季度产值增量部分0.5%的资金奖励；增速超过6%（含）的企业，给予一季度产值增量部分1%的资金奖励；最高不超过1500万元（含）。</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2023年一季度产值增长奖励</w:t>
      </w:r>
    </w:p>
    <w:p>
      <w:pPr>
        <w:spacing w:line="60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60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（一）区内规模以上工业企业。</w:t>
      </w:r>
    </w:p>
    <w:p>
      <w:pPr>
        <w:widowControl/>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rPr>
        <w:t>（二）</w:t>
      </w:r>
      <w:r>
        <w:rPr>
          <w:rFonts w:hint="eastAsia" w:ascii="仿宋_GB2312" w:hAnsi="仿宋_GB2312" w:eastAsia="仿宋_GB2312" w:cs="仿宋_GB2312"/>
          <w:sz w:val="32"/>
          <w:szCs w:val="32"/>
        </w:rPr>
        <w:t>2023年一季度产值同比增速为正。</w:t>
      </w:r>
    </w:p>
    <w:p>
      <w:pPr>
        <w:widowControl/>
        <w:spacing w:line="600" w:lineRule="exact"/>
        <w:ind w:firstLine="64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（三）亦庄新城225平方公里范围内注册、纳税并进行统计登记。</w:t>
      </w:r>
    </w:p>
    <w:p>
      <w:pPr>
        <w:widowControl/>
        <w:spacing w:line="600" w:lineRule="exact"/>
        <w:ind w:firstLine="64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四）2020年4月1日至2023年3月31日无重大行政处罚记录和刑事犯罪记录，未列入严重违法失信主体名单。重大行政处罚是指罚款金额或者没收违法所得超过5万元（含）、降低资质等级、吊销许可证件、责令停产停业、责令关闭、限制从业等处罚。刑事犯罪记录以人民法院作出审判并形成生效裁判文书作为界定依据。严重失信主体名单以信用中国共享的名单作为界定依据。</w:t>
      </w:r>
    </w:p>
    <w:p>
      <w:pPr>
        <w:pStyle w:val="3"/>
        <w:spacing w:line="600" w:lineRule="exact"/>
        <w:ind w:firstLine="640"/>
      </w:pPr>
      <w:r>
        <w:rPr>
          <w:rFonts w:hint="eastAsia"/>
        </w:rPr>
        <w:t>（五）不存在规自部门认定的违法建设情况。</w:t>
      </w:r>
    </w:p>
    <w:p>
      <w:pPr>
        <w:spacing w:line="60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rPr>
        <w:t>（一）</w:t>
      </w:r>
      <w:r>
        <w:rPr>
          <w:rFonts w:hint="eastAsia" w:ascii="仿宋_GB2312" w:hAnsi="仿宋_GB2312" w:eastAsia="仿宋_GB2312" w:cs="仿宋_GB2312"/>
          <w:sz w:val="32"/>
          <w:szCs w:val="32"/>
        </w:rPr>
        <w:t>2023年一季度产值增速为正的规模以上工业企业（新注册、迁入或新增规模以上工业企业产值同比基数为500万</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），增速低于6%的企业，给予一季度产值增量部分0.5%的资金奖励；增速超过6%（含）的企业，给予一季度产值增量部分1%的资金奖励；最高不超过1500万元（含）。</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（二）补贴金额以万元为单位，保留两位小数，不足百元部分舍去。</w:t>
      </w:r>
    </w:p>
    <w:p>
      <w:pPr>
        <w:pStyle w:val="3"/>
        <w:spacing w:line="600" w:lineRule="exact"/>
        <w:ind w:firstLine="640"/>
      </w:pPr>
      <w:r>
        <w:rPr>
          <w:rFonts w:hint="eastAsia"/>
        </w:rPr>
        <w:t>（三）单家企业享受奖励金额不与该企业年度区域经济贡献挂钩。</w:t>
      </w:r>
    </w:p>
    <w:p>
      <w:pPr>
        <w:pStyle w:val="3"/>
        <w:spacing w:line="600" w:lineRule="exact"/>
        <w:ind w:firstLine="640"/>
        <w:rPr>
          <w:rFonts w:ascii="黑体" w:hAnsi="黑体" w:eastAsia="黑体" w:cs="黑体"/>
        </w:rPr>
      </w:pPr>
      <w:r>
        <w:rPr>
          <w:rFonts w:hint="eastAsia" w:ascii="黑体" w:hAnsi="黑体" w:eastAsia="黑体" w:cs="黑体"/>
        </w:rPr>
        <w:t>五、申报材料及要求</w:t>
      </w:r>
    </w:p>
    <w:p>
      <w:pPr>
        <w:spacing w:line="600" w:lineRule="exact"/>
        <w:ind w:firstLine="664" w:firstLineChars="200"/>
        <w:outlineLvl w:val="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spacing w:line="600" w:lineRule="exact"/>
        <w:ind w:firstLine="640" w:firstLineChars="200"/>
      </w:pPr>
      <w:r>
        <w:rPr>
          <w:rFonts w:hint="eastAsia" w:ascii="仿宋_GB2312" w:hAnsi="仿宋_GB2312" w:eastAsia="仿宋_GB2312" w:cs="仿宋_GB2312"/>
          <w:sz w:val="32"/>
          <w:szCs w:val="32"/>
        </w:rPr>
        <w:t>1.202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年一季度产值增长奖励专项申报表，在线填写；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签字、加盖公章，彩色扫描上传；</w:t>
      </w:r>
    </w:p>
    <w:p>
      <w:pPr>
        <w:spacing w:line="60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4.银行账户信息，下载模板填写，</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600" w:lineRule="exact"/>
        <w:ind w:firstLine="664" w:firstLineChars="200"/>
        <w:rPr>
          <w:rFonts w:ascii="仿宋_GB2312" w:hAnsi="仿宋_GB2312" w:eastAsia="仿宋_GB2312" w:cs="仿宋_GB2312"/>
          <w:spacing w:val="6"/>
          <w:sz w:val="32"/>
          <w:szCs w:val="32"/>
        </w:rPr>
      </w:pPr>
      <w:r>
        <w:rPr>
          <w:rFonts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rPr>
        <w:t>企业2</w:t>
      </w:r>
      <w:r>
        <w:rPr>
          <w:rFonts w:ascii="仿宋_GB2312" w:hAnsi="仿宋_GB2312" w:eastAsia="仿宋_GB2312" w:cs="仿宋_GB2312"/>
          <w:spacing w:val="6"/>
          <w:sz w:val="32"/>
          <w:szCs w:val="32"/>
        </w:rPr>
        <w:t>023</w:t>
      </w:r>
      <w:r>
        <w:rPr>
          <w:rFonts w:hint="eastAsia" w:ascii="仿宋_GB2312" w:hAnsi="仿宋_GB2312" w:eastAsia="仿宋_GB2312" w:cs="仿宋_GB2312"/>
          <w:spacing w:val="6"/>
          <w:sz w:val="32"/>
          <w:szCs w:val="32"/>
        </w:rPr>
        <w:t>年一季度《工业产销总值及主要产品产量（B204-1表）》，加盖公章，彩色扫描上传。</w:t>
      </w:r>
    </w:p>
    <w:p>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6.企业2</w:t>
      </w:r>
      <w:r>
        <w:rPr>
          <w:rFonts w:ascii="仿宋_GB2312" w:hAnsi="仿宋_GB2312" w:eastAsia="仿宋_GB2312" w:cs="仿宋_GB2312"/>
          <w:spacing w:val="6"/>
          <w:sz w:val="32"/>
          <w:szCs w:val="32"/>
        </w:rPr>
        <w:t>02</w:t>
      </w:r>
      <w:r>
        <w:rPr>
          <w:rFonts w:hint="eastAsia" w:ascii="仿宋_GB2312" w:hAnsi="仿宋_GB2312" w:eastAsia="仿宋_GB2312" w:cs="仿宋_GB2312"/>
          <w:spacing w:val="6"/>
          <w:sz w:val="32"/>
          <w:szCs w:val="32"/>
        </w:rPr>
        <w:t>2年一季度《工业产销总值及主要产品产量（B204-1表）》，加盖公章，彩色扫描上传。若无</w:t>
      </w:r>
      <w:r>
        <w:rPr>
          <w:rFonts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rPr>
        <w:t>2年一季度报表，需提供说明文件并加盖公章。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通过经开区官网政策兑现模块进入政策兑现综合服务平台，或使用360浏览器的极速模式登录网址：zcdx.kfqgw.beijing.gov.cn，注册登录后进行项目申报。如未在规定时间内提交申请的，视为自动放弃。</w:t>
      </w:r>
    </w:p>
    <w:p>
      <w:pPr>
        <w:pStyle w:val="8"/>
        <w:widowControl/>
        <w:numPr>
          <w:ilvl w:val="255"/>
          <w:numId w:val="0"/>
        </w:numPr>
        <w:shd w:val="clear" w:color="auto" w:fill="FFFFFF"/>
        <w:spacing w:beforeAutospacing="0" w:afterAutospacing="0" w:line="60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8"/>
        <w:widowControl/>
        <w:shd w:val="clear" w:color="auto" w:fill="FFFFFF"/>
        <w:spacing w:beforeAutospacing="0" w:afterAutospacing="0" w:line="60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营商合作局</w:t>
      </w:r>
      <w:r>
        <w:rPr>
          <w:rFonts w:hint="eastAsia" w:ascii="仿宋_GB2312" w:hAnsi="仿宋_GB2312" w:eastAsia="仿宋_GB2312" w:cs="仿宋_GB2312"/>
          <w:color w:val="000000"/>
          <w:kern w:val="2"/>
          <w:sz w:val="32"/>
          <w:szCs w:val="32"/>
        </w:rPr>
        <w:t>对申请材料进行实质审核。</w:t>
      </w:r>
    </w:p>
    <w:p>
      <w:pPr>
        <w:pStyle w:val="8"/>
        <w:widowControl/>
        <w:shd w:val="clear" w:color="auto" w:fill="FFFFFF"/>
        <w:spacing w:beforeAutospacing="0" w:afterAutospacing="0" w:line="60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w:t>
      </w:r>
      <w:r>
        <w:rPr>
          <w:rFonts w:hint="eastAsia" w:eastAsia="仿宋_GB2312"/>
          <w:sz w:val="32"/>
          <w:szCs w:val="32"/>
        </w:rPr>
        <w:t>中心行政服务</w:t>
      </w:r>
      <w:r>
        <w:rPr>
          <w:rFonts w:hint="eastAsia" w:ascii="仿宋_GB2312" w:hAnsi="仿宋_GB2312" w:eastAsia="仿宋_GB2312" w:cs="仿宋_GB2312"/>
          <w:color w:val="000000"/>
          <w:kern w:val="2"/>
          <w:sz w:val="32"/>
          <w:szCs w:val="32"/>
        </w:rPr>
        <w:t>厅“政策申报”窗口提交纸质材料，工作人员核验，与网上提交材料一致的，予以收件；不符合的，当场告知补正要求。</w:t>
      </w:r>
    </w:p>
    <w:p>
      <w:pPr>
        <w:pStyle w:val="8"/>
        <w:widowControl/>
        <w:shd w:val="clear" w:color="auto" w:fill="FFFFFF"/>
        <w:spacing w:beforeAutospacing="0" w:afterAutospacing="0" w:line="60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：经开区营商合作局对审核通过的申报主体拟定兑现扶持奖励金额。</w:t>
      </w:r>
    </w:p>
    <w:p>
      <w:pPr>
        <w:pStyle w:val="8"/>
        <w:widowControl/>
        <w:shd w:val="clear" w:color="auto" w:fill="FFFFFF"/>
        <w:spacing w:beforeAutospacing="0" w:afterAutospacing="0" w:line="60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：经开区营商合作局通过政策兑现综合服务平台对审核通过的申报主体进行公示。</w:t>
      </w:r>
    </w:p>
    <w:p>
      <w:pPr>
        <w:pStyle w:val="8"/>
        <w:widowControl/>
        <w:shd w:val="clear" w:color="auto" w:fill="FFFFFF"/>
        <w:spacing w:beforeAutospacing="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600" w:lineRule="exact"/>
        <w:ind w:firstLine="640" w:firstLineChars="200"/>
        <w:rPr>
          <w:rFonts w:eastAsia="仿宋_GB2312" w:cs="仿宋_GB2312"/>
          <w:sz w:val="32"/>
          <w:szCs w:val="32"/>
        </w:rPr>
      </w:pPr>
      <w:r>
        <w:rPr>
          <w:rFonts w:hint="eastAsia" w:eastAsia="仿宋_GB2312" w:cs="仿宋_GB2312"/>
          <w:sz w:val="32"/>
          <w:szCs w:val="32"/>
        </w:rPr>
        <w:t>经开区营商合作局</w:t>
      </w:r>
      <w:bookmarkStart w:id="0" w:name="_GoBack"/>
      <w:bookmarkEnd w:id="0"/>
    </w:p>
    <w:p>
      <w:pPr>
        <w:numPr>
          <w:ilvl w:val="0"/>
          <w:numId w:val="1"/>
        </w:num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受理窗口</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北京经济技术开发区亦城国际中心2层政务服务</w:t>
      </w:r>
      <w:r>
        <w:rPr>
          <w:rFonts w:hint="eastAsia" w:eastAsia="仿宋_GB2312"/>
          <w:sz w:val="32"/>
          <w:szCs w:val="32"/>
        </w:rPr>
        <w:t>中心行政服务</w:t>
      </w:r>
      <w:r>
        <w:rPr>
          <w:rFonts w:hint="eastAsia" w:ascii="仿宋_GB2312" w:hAnsi="仿宋_GB2312" w:eastAsia="仿宋_GB2312" w:cs="仿宋_GB2312"/>
          <w:sz w:val="32"/>
          <w:szCs w:val="32"/>
        </w:rPr>
        <w:t>厅“政策申报”窗口</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日至2023年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numPr>
          <w:ilvl w:val="-1"/>
          <w:numId w:val="0"/>
        </w:numPr>
        <w:spacing w:line="600" w:lineRule="exact"/>
        <w:ind w:firstLine="640" w:firstLineChars="200"/>
        <w:outlineLvl w:val="0"/>
        <w:rPr>
          <w:rFonts w:eastAsia="仿宋_GB2312"/>
          <w:sz w:val="32"/>
          <w:szCs w:val="32"/>
        </w:rPr>
      </w:pPr>
      <w:r>
        <w:rPr>
          <w:rFonts w:hint="eastAsia" w:ascii="黑体" w:hAnsi="黑体" w:eastAsia="黑体" w:cs="黑体"/>
          <w:sz w:val="32"/>
          <w:szCs w:val="32"/>
          <w:lang w:eastAsia="zh-CN"/>
        </w:rPr>
        <w:t>十、</w:t>
      </w:r>
      <w:r>
        <w:rPr>
          <w:rFonts w:hint="eastAsia" w:ascii="黑体" w:hAnsi="黑体" w:eastAsia="黑体" w:cs="黑体"/>
          <w:sz w:val="32"/>
          <w:szCs w:val="32"/>
        </w:rPr>
        <w:t>联系人及联系方式</w:t>
      </w:r>
    </w:p>
    <w:p>
      <w:pPr>
        <w:spacing w:line="600" w:lineRule="exact"/>
        <w:ind w:firstLine="640" w:firstLineChars="200"/>
        <w:outlineLvl w:val="0"/>
        <w:rPr>
          <w:rFonts w:eastAsia="仿宋_GB2312"/>
          <w:sz w:val="32"/>
          <w:szCs w:val="32"/>
        </w:rPr>
      </w:pPr>
      <w:r>
        <w:rPr>
          <w:rFonts w:hint="eastAsia" w:eastAsia="仿宋_GB2312"/>
          <w:sz w:val="32"/>
          <w:szCs w:val="32"/>
        </w:rPr>
        <w:t>政策咨询：</w:t>
      </w:r>
    </w:p>
    <w:p>
      <w:pPr>
        <w:spacing w:line="600" w:lineRule="exact"/>
        <w:ind w:firstLine="640" w:firstLineChars="200"/>
        <w:outlineLvl w:val="0"/>
        <w:rPr>
          <w:rFonts w:ascii="仿宋_GB2312" w:hAnsi="仿宋_GB2312" w:eastAsia="仿宋_GB2312" w:cs="仿宋_GB2312"/>
          <w:sz w:val="32"/>
          <w:szCs w:val="32"/>
        </w:rPr>
      </w:pPr>
      <w:r>
        <w:rPr>
          <w:rFonts w:hint="eastAsia" w:eastAsia="仿宋_GB2312"/>
          <w:sz w:val="32"/>
          <w:szCs w:val="32"/>
        </w:rPr>
        <w:t>经开区政务服务中心行政服务厅“政策申报”窗口，联系电话：</w:t>
      </w:r>
      <w:r>
        <w:rPr>
          <w:rFonts w:ascii="仿宋_GB2312" w:hAnsi="仿宋_GB2312" w:eastAsia="仿宋_GB2312" w:cs="仿宋_GB2312"/>
          <w:sz w:val="32"/>
          <w:szCs w:val="32"/>
        </w:rPr>
        <w:t>010-67857687</w:t>
      </w:r>
      <w:r>
        <w:rPr>
          <w:rFonts w:hint="eastAsia" w:ascii="仿宋_GB2312" w:hAnsi="仿宋_GB2312" w:eastAsia="仿宋_GB2312" w:cs="仿宋_GB2312"/>
          <w:sz w:val="32"/>
          <w:szCs w:val="32"/>
        </w:rPr>
        <w:t>；010-67857878转4，工作日上午9:00—1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:00，下午1</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经开区营商合作局，联系电话：010-67881585；010-67870195，工作日上午9:</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0，下午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spacing w:line="600" w:lineRule="exact"/>
        <w:ind w:firstLine="640" w:firstLineChars="200"/>
        <w:outlineLvl w:val="0"/>
        <w:rPr>
          <w:rFonts w:eastAsia="仿宋_GB2312"/>
          <w:sz w:val="32"/>
          <w:szCs w:val="32"/>
        </w:rPr>
      </w:pPr>
      <w:r>
        <w:rPr>
          <w:rFonts w:hint="eastAsia" w:eastAsia="仿宋_GB2312"/>
          <w:sz w:val="32"/>
          <w:szCs w:val="32"/>
        </w:rPr>
        <w:t>技术支持：</w:t>
      </w:r>
    </w:p>
    <w:p>
      <w:pPr>
        <w:spacing w:line="600" w:lineRule="exact"/>
        <w:ind w:firstLine="640" w:firstLineChars="200"/>
        <w:outlineLvl w:val="0"/>
        <w:rPr>
          <w:rFonts w:ascii="仿宋_GB2312" w:hAnsi="仿宋_GB2312" w:eastAsia="仿宋_GB2312" w:cs="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0，下午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spacing w:line="60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pStyle w:val="3"/>
        <w:spacing w:line="600" w:lineRule="exact"/>
        <w:ind w:firstLine="640"/>
        <w:rPr>
          <w:rFonts w:ascii="仿宋_GB2312" w:hAnsi="仿宋_GB2312" w:eastAsia="仿宋_GB2312" w:cs="仿宋_GB2312"/>
          <w:sz w:val="32"/>
          <w:szCs w:val="32"/>
        </w:rPr>
      </w:pPr>
      <w:r>
        <w:rPr>
          <w:rFonts w:hint="eastAsia"/>
        </w:rPr>
        <w:t>对与经开区签署战略合作协议的企业，原则上不重复享受本项奖励。</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CC5830"/>
    <w:multiLevelType w:val="singleLevel"/>
    <w:tmpl w:val="FFCC583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20EC8"/>
    <w:rsid w:val="00060052"/>
    <w:rsid w:val="00062C5F"/>
    <w:rsid w:val="000F62F2"/>
    <w:rsid w:val="001145E7"/>
    <w:rsid w:val="0011525D"/>
    <w:rsid w:val="00124886"/>
    <w:rsid w:val="00161422"/>
    <w:rsid w:val="00161CCE"/>
    <w:rsid w:val="00165F8E"/>
    <w:rsid w:val="00277C92"/>
    <w:rsid w:val="002838D9"/>
    <w:rsid w:val="002D4178"/>
    <w:rsid w:val="00331FC1"/>
    <w:rsid w:val="00360EF1"/>
    <w:rsid w:val="00395968"/>
    <w:rsid w:val="00395F17"/>
    <w:rsid w:val="0041752A"/>
    <w:rsid w:val="00437F78"/>
    <w:rsid w:val="00457B4D"/>
    <w:rsid w:val="00530096"/>
    <w:rsid w:val="005F36D1"/>
    <w:rsid w:val="0062252C"/>
    <w:rsid w:val="006379AC"/>
    <w:rsid w:val="006A1513"/>
    <w:rsid w:val="006B706F"/>
    <w:rsid w:val="006D0140"/>
    <w:rsid w:val="00710378"/>
    <w:rsid w:val="00737AAC"/>
    <w:rsid w:val="008045A4"/>
    <w:rsid w:val="008130B8"/>
    <w:rsid w:val="00844BDB"/>
    <w:rsid w:val="0087710D"/>
    <w:rsid w:val="00900A14"/>
    <w:rsid w:val="00923A77"/>
    <w:rsid w:val="00973823"/>
    <w:rsid w:val="0098077A"/>
    <w:rsid w:val="009B6C96"/>
    <w:rsid w:val="009E5F17"/>
    <w:rsid w:val="00A3406B"/>
    <w:rsid w:val="00A85C2D"/>
    <w:rsid w:val="00AC6548"/>
    <w:rsid w:val="00AF284E"/>
    <w:rsid w:val="00B10A17"/>
    <w:rsid w:val="00B1202D"/>
    <w:rsid w:val="00B74D80"/>
    <w:rsid w:val="00C122AB"/>
    <w:rsid w:val="00D259A0"/>
    <w:rsid w:val="00D455F1"/>
    <w:rsid w:val="00D460B2"/>
    <w:rsid w:val="00D668C9"/>
    <w:rsid w:val="00D76185"/>
    <w:rsid w:val="00D85A9F"/>
    <w:rsid w:val="00D961B2"/>
    <w:rsid w:val="00DF7D00"/>
    <w:rsid w:val="00EA199B"/>
    <w:rsid w:val="00F416E2"/>
    <w:rsid w:val="00FA7C87"/>
    <w:rsid w:val="00FD246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481432"/>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C97228"/>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0F0B5C"/>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CC4940"/>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76449A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EE731F6"/>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E0536B"/>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11EDA"/>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5FEA1F4F"/>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6779FE"/>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78FDB"/>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102EC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7E3FC4"/>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5F7AE5"/>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893E970E"/>
    <w:rsid w:val="9F6F6015"/>
    <w:rsid w:val="C7DB93C8"/>
    <w:rsid w:val="DD7E7DC7"/>
    <w:rsid w:val="DEF5E07B"/>
    <w:rsid w:val="EFD3AB88"/>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ody Text Indent"/>
    <w:basedOn w:val="1"/>
    <w:qFormat/>
    <w:uiPriority w:val="0"/>
    <w:pPr>
      <w:ind w:left="420" w:leftChars="200"/>
    </w:pPr>
  </w:style>
  <w:style w:type="paragraph" w:styleId="5">
    <w:name w:val="Balloon Text"/>
    <w:basedOn w:val="1"/>
    <w:link w:val="16"/>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qFormat/>
    <w:uiPriority w:val="0"/>
    <w:pPr>
      <w:ind w:firstLine="420"/>
    </w:pPr>
  </w:style>
  <w:style w:type="character" w:styleId="12">
    <w:name w:val="Hyperlink"/>
    <w:basedOn w:val="11"/>
    <w:qFormat/>
    <w:uiPriority w:val="0"/>
    <w:rPr>
      <w:color w:val="0000FF"/>
      <w:u w:val="single"/>
    </w:rPr>
  </w:style>
  <w:style w:type="character" w:customStyle="1" w:styleId="13">
    <w:name w:val="页眉 Char"/>
    <w:basedOn w:val="11"/>
    <w:link w:val="7"/>
    <w:qFormat/>
    <w:uiPriority w:val="0"/>
    <w:rPr>
      <w:kern w:val="2"/>
      <w:sz w:val="18"/>
      <w:szCs w:val="18"/>
    </w:rPr>
  </w:style>
  <w:style w:type="character" w:customStyle="1" w:styleId="14">
    <w:name w:val="页脚 Char"/>
    <w:basedOn w:val="11"/>
    <w:link w:val="6"/>
    <w:qFormat/>
    <w:uiPriority w:val="0"/>
    <w:rPr>
      <w:kern w:val="2"/>
      <w:sz w:val="18"/>
      <w:szCs w:val="18"/>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6">
    <w:name w:val="批注框文本 Char"/>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276</Words>
  <Characters>1577</Characters>
  <Lines>13</Lines>
  <Paragraphs>3</Paragraphs>
  <TotalTime>4</TotalTime>
  <ScaleCrop>false</ScaleCrop>
  <LinksUpToDate>false</LinksUpToDate>
  <CharactersWithSpaces>1850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2023-02-16T10:07:00Z</dcterms:created>
  <dc:creator>zkk</dc:creator>
  <cp:lastModifiedBy>admin</cp:lastModifiedBy>
  <cp:lastPrinted>2020-03-22T03:03:00Z</cp:lastPrinted>
  <dcterms:modified xsi:type="dcterms:W3CDTF">2023-04-13T00:47:54Z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D0C6CB4D3DD449CF9F01DB31742842FE</vt:lpwstr>
  </property>
</Properties>
</file>