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sz w:val="32"/>
          <w:szCs w:val="32"/>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9</w:t>
      </w:r>
      <w:r>
        <w:rPr>
          <w:rFonts w:hint="eastAsia" w:ascii="黑体" w:hAnsi="黑体" w:eastAsia="黑体" w:cs="黑体"/>
          <w:color w:val="333333"/>
          <w:spacing w:val="15"/>
          <w:kern w:val="0"/>
          <w:sz w:val="32"/>
          <w:szCs w:val="32"/>
          <w:shd w:val="clear" w:color="auto" w:fill="FFFFFF"/>
        </w:rPr>
        <w:t>：</w:t>
      </w:r>
    </w:p>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年度游戏电竞赛事活动补贴事项</w:t>
      </w:r>
    </w:p>
    <w:p>
      <w:pPr>
        <w:jc w:val="center"/>
        <w:outlineLvl w:val="0"/>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办事指南</w:t>
      </w:r>
    </w:p>
    <w:p>
      <w:pPr>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themeColor="text1"/>
          <w:sz w:val="32"/>
        </w:rPr>
        <w:t>《北京经济技术开发区游戏产业</w:t>
      </w:r>
      <w:r>
        <w:rPr>
          <w:rFonts w:hint="eastAsia" w:ascii="仿宋_GB2312" w:hAnsi="仿宋_GB2312" w:eastAsia="仿宋_GB2312" w:cs="仿宋_GB2312"/>
          <w:sz w:val="32"/>
          <w:szCs w:val="32"/>
        </w:rPr>
        <w:t>政策》第九条支持赛事活动落地中“支持区内游戏（电竞）企业或机构主办赛事、展览论坛及职业联赛，为游戏电竞产业发展营造良好氛围。对于国际化程度高、影响重大、社会效益突出、示范效应显著的赛事活动，经审核认定后，按照活动实际发生费用给予不超过20%的一次性补贴，每个活动补贴金额不超过500万元。</w:t>
      </w:r>
      <w:r>
        <w:rPr>
          <w:rFonts w:hint="eastAsia" w:ascii="仿宋_GB2312" w:hAnsi="仿宋_GB2312" w:eastAsia="仿宋_GB2312" w:cs="仿宋_GB2312"/>
          <w:bCs/>
          <w:color w:val="000000" w:themeColor="text1"/>
          <w:sz w:val="32"/>
        </w:rPr>
        <w:t>”</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spacing w:line="360" w:lineRule="auto"/>
        <w:ind w:firstLine="640" w:firstLineChars="200"/>
        <w:rPr>
          <w:rFonts w:ascii="黑体" w:hAnsi="黑体" w:eastAsia="黑体" w:cs="黑体"/>
          <w:bCs/>
          <w:color w:val="000000"/>
          <w:kern w:val="0"/>
          <w:sz w:val="32"/>
          <w:szCs w:val="32"/>
        </w:rPr>
      </w:pPr>
      <w:r>
        <w:rPr>
          <w:rFonts w:hint="eastAsia" w:ascii="仿宋_GB2312" w:hAnsi="仿宋_GB2312" w:eastAsia="仿宋_GB2312" w:cs="仿宋_GB2312"/>
          <w:bCs/>
          <w:color w:val="000000"/>
          <w:kern w:val="0"/>
          <w:sz w:val="32"/>
          <w:szCs w:val="32"/>
        </w:rPr>
        <w:t>202</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rPr>
        <w:t>年度游戏电竞赛事活动补贴</w:t>
      </w:r>
    </w:p>
    <w:p>
      <w:pPr>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pStyle w:val="2"/>
        <w:spacing w:line="360" w:lineRule="auto"/>
        <w:ind w:firstLine="640" w:firstLineChars="200"/>
        <w:rPr>
          <w:rFonts w:ascii="仿宋_GB2312" w:eastAsia="仿宋_GB2312"/>
          <w:sz w:val="32"/>
          <w:szCs w:val="32"/>
        </w:rPr>
      </w:pPr>
      <w:r>
        <w:rPr>
          <w:rFonts w:hint="eastAsia" w:ascii="Times New Roman" w:eastAsia="仿宋_GB2312"/>
          <w:sz w:val="32"/>
          <w:szCs w:val="32"/>
        </w:rPr>
        <w:t>（一）申报主体应具有独立法人资格、实行独立核算，在经开区范围内依法注册、纳税、入统的企业或机构；</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（二）赛事活动举办地应在经开区范围内；</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（三）赛事活动2</w:t>
      </w:r>
      <w:r>
        <w:rPr>
          <w:rFonts w:ascii="仿宋_GB2312" w:eastAsia="仿宋_GB2312"/>
          <w:sz w:val="32"/>
          <w:szCs w:val="32"/>
        </w:rPr>
        <w:t>02</w:t>
      </w:r>
      <w:r>
        <w:rPr>
          <w:rFonts w:hint="eastAsia" w:ascii="仿宋_GB2312" w:eastAsia="仿宋_GB2312"/>
          <w:sz w:val="32"/>
          <w:szCs w:val="32"/>
          <w:lang w:val="en-US" w:eastAsia="zh-CN"/>
        </w:rPr>
        <w:t>2</w:t>
      </w:r>
      <w:r>
        <w:rPr>
          <w:rFonts w:hint="eastAsia" w:ascii="仿宋_GB2312" w:eastAsia="仿宋_GB2312"/>
          <w:sz w:val="32"/>
          <w:szCs w:val="32"/>
        </w:rPr>
        <w:t>年已按期举办并完成项目验收；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（四）经审核符合政策补贴原则的游戏产业赛事活动。</w:t>
      </w:r>
    </w:p>
    <w:p>
      <w:pPr>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hAnsi="仿宋_GB2312" w:eastAsia="仿宋_GB2312" w:cs="仿宋_GB2312"/>
          <w:sz w:val="32"/>
          <w:szCs w:val="32"/>
        </w:rPr>
        <w:t>择优支持举办国际邀请赛、全球总决赛等</w:t>
      </w:r>
      <w:r>
        <w:rPr>
          <w:rFonts w:hint="eastAsia" w:ascii="仿宋_GB2312" w:hAnsi="仿宋_GB2312" w:eastAsia="仿宋_GB2312" w:cs="仿宋_GB2312"/>
          <w:sz w:val="32"/>
          <w:szCs w:val="32"/>
          <w:lang w:eastAsia="zh-CN"/>
        </w:rPr>
        <w:t>国际</w:t>
      </w:r>
      <w:r>
        <w:rPr>
          <w:rFonts w:hint="eastAsia" w:ascii="仿宋_GB2312" w:hAnsi="仿宋_GB2312" w:eastAsia="仿宋_GB2312" w:cs="仿宋_GB2312"/>
          <w:sz w:val="32"/>
          <w:szCs w:val="32"/>
        </w:rPr>
        <w:t>级重大电竞赛事或展览论坛，经审核认定后，按照活动实际发生费用给予不超过20%的一次性补贴，每个活动补贴金额不超过500万元；</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（二）择优支持举办全国性电子竞技大赛、职业联赛或展览论坛，经审核认定后，按照活动实际发生费用给予不超过20%的一次性补贴，每个活动补贴金额不超过300万元；</w:t>
      </w:r>
    </w:p>
    <w:p>
      <w:pPr>
        <w:spacing w:line="360" w:lineRule="auto"/>
        <w:ind w:firstLine="640" w:firstLineChars="200"/>
        <w:jc w:val="left"/>
        <w:rPr>
          <w:rFonts w:eastAsia="仿宋_GB2312"/>
        </w:rPr>
      </w:pPr>
      <w:r>
        <w:rPr>
          <w:rFonts w:hint="eastAsia" w:ascii="仿宋_GB2312" w:hAnsi="仿宋_GB2312" w:eastAsia="仿宋_GB2312" w:cs="仿宋_GB2312"/>
          <w:sz w:val="32"/>
          <w:szCs w:val="32"/>
        </w:rPr>
        <w:t>（三）择优支持主办北京市、经开区电竞大赛或展览论坛，经审核认定后，按照活动实际发生费用给予不超过20%的一次性补贴，每个活动补贴金额不超过100万元；</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（四）同一申报主体年度申请补贴不超过3项，补贴金额以万元为单位，不足万元部分舍去。</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bookmarkStart w:id="3" w:name="_GoBack"/>
      <w:bookmarkEnd w:id="3"/>
    </w:p>
    <w:p>
      <w:pPr>
        <w:ind w:firstLine="664" w:firstLineChars="200"/>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1.</w:t>
      </w:r>
      <w:r>
        <w:rPr>
          <w:rFonts w:ascii="仿宋_GB2312" w:hAnsi="仿宋_GB2312" w:eastAsia="仿宋_GB2312" w:cs="仿宋_GB2312"/>
          <w:bCs/>
          <w:color w:val="000000"/>
          <w:kern w:val="0"/>
          <w:sz w:val="32"/>
          <w:szCs w:val="32"/>
        </w:rPr>
        <w:t>202</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rPr>
        <w:t>年度游戏电竞赛事活动补贴申报表</w:t>
      </w:r>
      <w:r>
        <w:rPr>
          <w:rFonts w:hint="eastAsia" w:ascii="仿宋_GB2312" w:hAnsi="仿宋_GB2312" w:eastAsia="仿宋_GB2312" w:cs="仿宋_GB2312"/>
          <w:color w:val="000000" w:themeColor="text1"/>
          <w:sz w:val="32"/>
          <w:szCs w:val="32"/>
        </w:rPr>
        <w:t>，在线填写；</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rPr>
        <w:t>企业营业执照，</w:t>
      </w:r>
      <w:bookmarkStart w:id="0" w:name="_Hlk115191650"/>
      <w:r>
        <w:rPr>
          <w:rFonts w:hint="eastAsia" w:ascii="仿宋_GB2312" w:hAnsi="仿宋_GB2312" w:eastAsia="仿宋_GB2312" w:cs="仿宋_GB2312"/>
          <w:color w:val="000000" w:themeColor="text1"/>
          <w:sz w:val="32"/>
          <w:szCs w:val="32"/>
        </w:rPr>
        <w:t>选取电子证照</w:t>
      </w:r>
      <w:bookmarkEnd w:id="0"/>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承诺书，下载模板填写，签字</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rPr>
        <w:t>银行账户信息，</w:t>
      </w:r>
      <w:bookmarkStart w:id="1" w:name="_Hlk115191672"/>
      <w:r>
        <w:rPr>
          <w:rFonts w:hint="eastAsia" w:ascii="仿宋_GB2312" w:hAnsi="仿宋_GB2312" w:eastAsia="仿宋_GB2312" w:cs="仿宋_GB2312"/>
          <w:color w:val="000000" w:themeColor="text1"/>
          <w:sz w:val="32"/>
          <w:szCs w:val="32"/>
        </w:rPr>
        <w:t>下载模板填写，</w:t>
      </w:r>
      <w:bookmarkEnd w:id="1"/>
      <w:r>
        <w:rPr>
          <w:rFonts w:hint="eastAsia" w:ascii="仿宋_GB2312" w:hAnsi="仿宋_GB2312" w:eastAsia="仿宋_GB2312" w:cs="仿宋_GB2312"/>
          <w:color w:val="000000" w:themeColor="text1"/>
          <w:sz w:val="32"/>
          <w:szCs w:val="32"/>
        </w:rPr>
        <w:t>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bookmarkStart w:id="2" w:name="_Hlk113290483"/>
      <w:r>
        <w:rPr>
          <w:rFonts w:hint="eastAsia" w:ascii="仿宋_GB2312" w:hAnsi="仿宋_GB2312" w:eastAsia="仿宋_GB2312" w:cs="仿宋_GB2312"/>
          <w:color w:val="000000" w:themeColor="text1"/>
          <w:sz w:val="32"/>
          <w:szCs w:val="32"/>
        </w:rPr>
        <w:t>5.企业202</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eastAsia="zh-CN"/>
        </w:rPr>
        <w:t>（按</w:t>
      </w:r>
      <w:r>
        <w:rPr>
          <w:rFonts w:hint="eastAsia" w:ascii="仿宋_GB2312" w:hAnsi="仿宋_GB2312" w:eastAsia="仿宋_GB2312" w:cs="仿宋_GB2312"/>
          <w:color w:val="000000" w:themeColor="text1"/>
          <w:sz w:val="32"/>
          <w:szCs w:val="32"/>
        </w:rPr>
        <w:t>入库期</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的税收完税证明，原件彩色扫描上传；</w:t>
      </w:r>
    </w:p>
    <w:bookmarkEnd w:id="2"/>
    <w:p>
      <w:pPr>
        <w:spacing w:line="360" w:lineRule="auto"/>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.赛事活动方案（赛事活动简介、组委会、活动规模、比赛地点及时间、宣传方式、现场情况介绍等），</w:t>
      </w:r>
      <w:r>
        <w:rPr>
          <w:rFonts w:hint="eastAsia" w:ascii="仿宋_GB2312" w:hAnsi="仿宋_GB2312" w:eastAsia="仿宋_GB2312" w:cs="仿宋_GB2312"/>
          <w:spacing w:val="6"/>
          <w:sz w:val="32"/>
          <w:szCs w:val="32"/>
        </w:rPr>
        <w:t>加盖公章，彩色扫描上传；</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.赛事活动总结报告（赛事活动</w:t>
      </w:r>
      <w:r>
        <w:rPr>
          <w:rFonts w:ascii="仿宋_GB2312" w:hAnsi="仿宋_GB2312" w:eastAsia="仿宋_GB2312" w:cs="仿宋_GB2312"/>
          <w:sz w:val="32"/>
          <w:szCs w:val="32"/>
        </w:rPr>
        <w:t>通知、出席人员及相关资格、职称等证明材料、合作协议、</w:t>
      </w:r>
      <w:r>
        <w:rPr>
          <w:rFonts w:hint="eastAsia" w:ascii="仿宋_GB2312" w:hAnsi="仿宋_GB2312" w:eastAsia="仿宋_GB2312" w:cs="仿宋_GB2312"/>
          <w:sz w:val="32"/>
          <w:szCs w:val="32"/>
        </w:rPr>
        <w:t>备案文件、赛事活动</w:t>
      </w:r>
      <w:r>
        <w:rPr>
          <w:rFonts w:ascii="仿宋_GB2312" w:hAnsi="仿宋_GB2312" w:eastAsia="仿宋_GB2312" w:cs="仿宋_GB2312"/>
          <w:sz w:val="32"/>
          <w:szCs w:val="32"/>
        </w:rPr>
        <w:t>照片、</w:t>
      </w:r>
      <w:r>
        <w:rPr>
          <w:rFonts w:hint="eastAsia" w:ascii="仿宋_GB2312" w:hAnsi="仿宋_GB2312" w:eastAsia="仿宋_GB2312" w:cs="仿宋_GB2312"/>
          <w:sz w:val="32"/>
          <w:szCs w:val="32"/>
        </w:rPr>
        <w:t>签到表、赛事报道宣传</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），加盖公章，彩色扫描上传</w:t>
      </w:r>
      <w:r>
        <w:rPr>
          <w:rFonts w:hint="eastAsia" w:ascii="仿宋_GB2312" w:hAnsi="仿宋_GB2312" w:eastAsia="仿宋_GB2312" w:cs="仿宋_GB2312"/>
          <w:sz w:val="32"/>
          <w:szCs w:val="32"/>
          <w:lang w:eastAsia="zh-CN"/>
        </w:rPr>
        <w:t>，相关证明材料，原件彩色扫描上传</w:t>
      </w:r>
      <w:r>
        <w:rPr>
          <w:rFonts w:hint="eastAsia" w:ascii="仿宋_GB2312" w:hAnsi="仿宋_GB2312" w:eastAsia="仿宋_GB2312" w:cs="仿宋_GB2312"/>
          <w:sz w:val="32"/>
          <w:szCs w:val="32"/>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.赛事活动支出证明（活动支出专项审计报告、支出明细表、支出相关合同、付款、发票、凭证等），</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rPr>
        <w:t>彩色扫描上传；</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.其他证明材料，加盖公章，彩色扫描上传。</w:t>
      </w:r>
    </w:p>
    <w:p>
      <w:pPr>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8"/>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8"/>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工委宣传文化部</w:t>
      </w:r>
      <w:r>
        <w:rPr>
          <w:rFonts w:hint="eastAsia" w:ascii="仿宋_GB2312" w:hAnsi="仿宋_GB2312" w:eastAsia="仿宋_GB2312" w:cs="仿宋_GB2312"/>
          <w:color w:val="000000"/>
          <w:kern w:val="2"/>
          <w:sz w:val="32"/>
          <w:szCs w:val="32"/>
        </w:rPr>
        <w:t>对申请材料进行实质审核。</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w:t>
      </w:r>
      <w:r>
        <w:rPr>
          <w:rFonts w:hint="eastAsia" w:ascii="仿宋_GB2312" w:hAnsi="仿宋_GB2312" w:eastAsia="仿宋_GB2312" w:cs="仿宋_GB2312"/>
          <w:color w:val="000000"/>
          <w:kern w:val="2"/>
          <w:sz w:val="32"/>
          <w:szCs w:val="32"/>
          <w:lang w:eastAsia="zh-CN"/>
        </w:rPr>
        <w:t>中心行政</w:t>
      </w:r>
      <w:r>
        <w:rPr>
          <w:rFonts w:hint="eastAsia" w:ascii="仿宋_GB2312" w:hAnsi="仿宋_GB2312" w:eastAsia="仿宋_GB2312" w:cs="仿宋_GB2312"/>
          <w:color w:val="000000"/>
          <w:kern w:val="2"/>
          <w:sz w:val="32"/>
          <w:szCs w:val="32"/>
        </w:rPr>
        <w:t>服务厅“政策申报”窗口提交材料，工作人员核验，与网上提交材料一致的，予以收件；不符合的，当场告知补正要求。</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专家评审：</w:t>
      </w:r>
      <w:r>
        <w:rPr>
          <w:rFonts w:hint="eastAsia" w:ascii="仿宋_GB2312" w:hAnsi="仿宋_GB2312" w:eastAsia="仿宋_GB2312" w:cs="仿宋_GB2312"/>
          <w:color w:val="000000"/>
          <w:kern w:val="2"/>
          <w:sz w:val="32"/>
          <w:szCs w:val="32"/>
        </w:rPr>
        <w:t>经开区工委宣传文化部组织专家线下对申请材料进行评审，评审后将结果上传到系统。</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：经开区工委宣传文化部对审核通过的申报主体拟定兑现扶持奖励金额。</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：经开区工委宣传文化部通过政策兑现综合服务平台对审核通过的申报主体进行公示。</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（八）</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w:t>
      </w:r>
      <w:r>
        <w:rPr>
          <w:rFonts w:hint="eastAsia" w:ascii="仿宋_GB2312" w:hAnsi="仿宋_GB2312" w:eastAsia="仿宋_GB2312" w:cs="仿宋_GB2312"/>
          <w:color w:val="000000"/>
          <w:sz w:val="32"/>
          <w:szCs w:val="32"/>
        </w:rPr>
        <w:t>工委宣传文化部</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北京经济技术开发区荣华中路10号亦城国际中心裙楼二层政务服务中心行政服务厅“政策申报”窗口。</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日至20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p>
    <w:p>
      <w:pPr>
        <w:ind w:firstLine="640" w:firstLineChars="200"/>
        <w:rPr>
          <w:rFonts w:eastAsia="仿宋_GB2312"/>
          <w:sz w:val="32"/>
          <w:szCs w:val="32"/>
        </w:rPr>
      </w:pPr>
      <w:r>
        <w:rPr>
          <w:rFonts w:hint="eastAsia" w:eastAsia="仿宋_GB2312"/>
          <w:sz w:val="32"/>
          <w:szCs w:val="32"/>
        </w:rPr>
        <w:t>政策咨询：</w:t>
      </w:r>
    </w:p>
    <w:p>
      <w:pPr>
        <w:ind w:firstLine="640" w:firstLineChars="200"/>
        <w:rPr>
          <w:rFonts w:eastAsia="仿宋_GB2312"/>
          <w:sz w:val="32"/>
          <w:szCs w:val="32"/>
        </w:rPr>
      </w:pPr>
      <w:r>
        <w:rPr>
          <w:rFonts w:hint="eastAsia" w:eastAsia="仿宋_GB2312"/>
          <w:sz w:val="32"/>
          <w:szCs w:val="32"/>
        </w:rPr>
        <w:t>经开区政务服务中心行政服务厅“政策申报”窗口，联系电话：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经开区工委宣传文化部，联系电话：</w:t>
      </w:r>
      <w:r>
        <w:rPr>
          <w:rFonts w:ascii="仿宋_GB2312" w:hAnsi="仿宋_GB2312" w:eastAsia="仿宋_GB2312" w:cs="仿宋_GB2312"/>
          <w:sz w:val="32"/>
          <w:szCs w:val="32"/>
        </w:rPr>
        <w:t>010-67857362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工作日上午9：00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12：00，下午2:00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6:00</w:t>
      </w:r>
      <w:r>
        <w:rPr>
          <w:rFonts w:hint="eastAsia" w:ascii="仿宋_GB2312" w:hAnsi="仿宋_GB2312" w:eastAsia="仿宋_GB2312" w:cs="仿宋_GB2312"/>
          <w:sz w:val="32"/>
          <w:szCs w:val="32"/>
        </w:rPr>
        <w:t>。</w:t>
      </w:r>
    </w:p>
    <w:p>
      <w:pPr>
        <w:ind w:firstLine="640" w:firstLineChars="200"/>
        <w:rPr>
          <w:rFonts w:eastAsia="仿宋_GB2312"/>
          <w:sz w:val="32"/>
          <w:szCs w:val="32"/>
        </w:rPr>
      </w:pPr>
      <w:r>
        <w:rPr>
          <w:rFonts w:hint="eastAsia" w:eastAsia="仿宋_GB2312"/>
          <w:sz w:val="32"/>
          <w:szCs w:val="32"/>
        </w:rPr>
        <w:t>技术支持：</w:t>
      </w:r>
    </w:p>
    <w:p>
      <w:pPr>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工作日上午9:00—12:00，下午2:00—6:00。</w:t>
      </w:r>
    </w:p>
    <w:p>
      <w:pPr>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adjustRightInd w:val="0"/>
        <w:snapToGrid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对于同一项目、同一事项，同时符合本政策规定的支持条件及经开区其他专项支持政策，或已执行开发区入区协议相关政策的，按照从高从优不重复的原则申请支持。企业获得支持资金总额不超过其区域经济贡献的</w:t>
      </w:r>
      <w:r>
        <w:rPr>
          <w:rFonts w:ascii="仿宋_GB2312" w:hAnsi="仿宋_GB2312" w:eastAsia="仿宋_GB2312"/>
          <w:sz w:val="32"/>
        </w:rPr>
        <w:t>50%。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1NTBlNWM2NGQ5ZjUwNzMzZmIwMTZlMGM1YmI5ODAifQ=="/>
  </w:docVars>
  <w:rsids>
    <w:rsidRoot w:val="00360EF1"/>
    <w:rsid w:val="0001192B"/>
    <w:rsid w:val="00060052"/>
    <w:rsid w:val="00062C5F"/>
    <w:rsid w:val="000F62F2"/>
    <w:rsid w:val="001145E7"/>
    <w:rsid w:val="00161422"/>
    <w:rsid w:val="00161CCE"/>
    <w:rsid w:val="001B160C"/>
    <w:rsid w:val="00203194"/>
    <w:rsid w:val="00271142"/>
    <w:rsid w:val="002838D9"/>
    <w:rsid w:val="002A0105"/>
    <w:rsid w:val="00360EF1"/>
    <w:rsid w:val="00395968"/>
    <w:rsid w:val="003A6F11"/>
    <w:rsid w:val="0042212A"/>
    <w:rsid w:val="0043675F"/>
    <w:rsid w:val="004564E2"/>
    <w:rsid w:val="00457B4D"/>
    <w:rsid w:val="004670D4"/>
    <w:rsid w:val="004870E5"/>
    <w:rsid w:val="00533C9A"/>
    <w:rsid w:val="005A03F5"/>
    <w:rsid w:val="006243A3"/>
    <w:rsid w:val="006507D0"/>
    <w:rsid w:val="00697A2E"/>
    <w:rsid w:val="006A1513"/>
    <w:rsid w:val="006D0140"/>
    <w:rsid w:val="00710378"/>
    <w:rsid w:val="00791A81"/>
    <w:rsid w:val="00792E93"/>
    <w:rsid w:val="0083453E"/>
    <w:rsid w:val="00844BDB"/>
    <w:rsid w:val="008F509E"/>
    <w:rsid w:val="00900A14"/>
    <w:rsid w:val="0091406A"/>
    <w:rsid w:val="00923A77"/>
    <w:rsid w:val="0098077A"/>
    <w:rsid w:val="00A3406B"/>
    <w:rsid w:val="00AC6E24"/>
    <w:rsid w:val="00B74D80"/>
    <w:rsid w:val="00C122AB"/>
    <w:rsid w:val="00C37D99"/>
    <w:rsid w:val="00C67ACC"/>
    <w:rsid w:val="00CC2670"/>
    <w:rsid w:val="00CD0341"/>
    <w:rsid w:val="00D460B2"/>
    <w:rsid w:val="00D668C9"/>
    <w:rsid w:val="00D76185"/>
    <w:rsid w:val="00D85A9F"/>
    <w:rsid w:val="00E0272B"/>
    <w:rsid w:val="00E02997"/>
    <w:rsid w:val="00EA199B"/>
    <w:rsid w:val="00EE6BC6"/>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B25697"/>
    <w:rsid w:val="2ACF7AB8"/>
    <w:rsid w:val="2B035A09"/>
    <w:rsid w:val="2B2024A7"/>
    <w:rsid w:val="2B833D12"/>
    <w:rsid w:val="2B9B0A58"/>
    <w:rsid w:val="2BA7027E"/>
    <w:rsid w:val="2BAB54C5"/>
    <w:rsid w:val="2BC05AF8"/>
    <w:rsid w:val="2BE54D11"/>
    <w:rsid w:val="2C2F3F5A"/>
    <w:rsid w:val="2C522435"/>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ADE5754"/>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1B1D"/>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7EBA405"/>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DFE3DC"/>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5503CE"/>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F0C63B7"/>
    <w:rsid w:val="6F345206"/>
    <w:rsid w:val="6F941165"/>
    <w:rsid w:val="6FBC2D32"/>
    <w:rsid w:val="70007B47"/>
    <w:rsid w:val="702F1D23"/>
    <w:rsid w:val="705342C1"/>
    <w:rsid w:val="708D3892"/>
    <w:rsid w:val="70B75CF8"/>
    <w:rsid w:val="70C079DE"/>
    <w:rsid w:val="712573D2"/>
    <w:rsid w:val="7155010D"/>
    <w:rsid w:val="715C4E8A"/>
    <w:rsid w:val="717F152D"/>
    <w:rsid w:val="71D07EE4"/>
    <w:rsid w:val="720F3D8F"/>
    <w:rsid w:val="72A75458"/>
    <w:rsid w:val="72D92721"/>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9F6F6015"/>
    <w:rsid w:val="C7DB93C8"/>
    <w:rsid w:val="D1C32C99"/>
    <w:rsid w:val="DD7E7DC7"/>
    <w:rsid w:val="DEF5E07B"/>
    <w:rsid w:val="EFEEB9E2"/>
    <w:rsid w:val="F5DBA8FA"/>
    <w:rsid w:val="FDF765C2"/>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qFormat/>
    <w:uiPriority w:val="0"/>
    <w:rPr>
      <w:rFonts w:ascii="宋体"/>
      <w:sz w:val="18"/>
      <w:szCs w:val="18"/>
    </w:r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Balloon Text"/>
    <w:basedOn w:val="1"/>
    <w:link w:val="16"/>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Hyperlink"/>
    <w:basedOn w:val="10"/>
    <w:qFormat/>
    <w:uiPriority w:val="0"/>
    <w:rPr>
      <w:color w:val="0000FF"/>
      <w:u w:val="single"/>
    </w:rPr>
  </w:style>
  <w:style w:type="character" w:customStyle="1" w:styleId="12">
    <w:name w:val="页眉 字符"/>
    <w:basedOn w:val="10"/>
    <w:link w:val="7"/>
    <w:qFormat/>
    <w:uiPriority w:val="0"/>
    <w:rPr>
      <w:kern w:val="2"/>
      <w:sz w:val="18"/>
      <w:szCs w:val="18"/>
    </w:rPr>
  </w:style>
  <w:style w:type="character" w:customStyle="1" w:styleId="13">
    <w:name w:val="页脚 字符"/>
    <w:basedOn w:val="10"/>
    <w:link w:val="6"/>
    <w:qFormat/>
    <w:uiPriority w:val="0"/>
    <w:rPr>
      <w:kern w:val="2"/>
      <w:sz w:val="18"/>
      <w:szCs w:val="18"/>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文档结构图 字符"/>
    <w:basedOn w:val="10"/>
    <w:link w:val="2"/>
    <w:qFormat/>
    <w:uiPriority w:val="0"/>
    <w:rPr>
      <w:rFonts w:ascii="宋体"/>
      <w:kern w:val="2"/>
      <w:sz w:val="18"/>
      <w:szCs w:val="18"/>
    </w:rPr>
  </w:style>
  <w:style w:type="character" w:customStyle="1" w:styleId="16">
    <w:name w:val="批注框文本 字符"/>
    <w:basedOn w:val="10"/>
    <w:link w:val="5"/>
    <w:qFormat/>
    <w:uiPriority w:val="0"/>
    <w:rPr>
      <w:kern w:val="2"/>
      <w:sz w:val="18"/>
      <w:szCs w:val="18"/>
    </w:rPr>
  </w:style>
  <w:style w:type="paragraph" w:customStyle="1" w:styleId="17">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329</Words>
  <Characters>1877</Characters>
  <Lines>15</Lines>
  <Paragraphs>4</Paragraphs>
  <TotalTime>0</TotalTime>
  <ScaleCrop>false</ScaleCrop>
  <LinksUpToDate>false</LinksUpToDate>
  <CharactersWithSpaces>2202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2019-08-12T22:54:00Z</dcterms:created>
  <dc:creator>zkk</dc:creator>
  <cp:lastModifiedBy>admin</cp:lastModifiedBy>
  <cp:lastPrinted>2020-03-22T19:03:00Z</cp:lastPrinted>
  <dcterms:modified xsi:type="dcterms:W3CDTF">2023-05-15T08:51:49Z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D0C6CB4D3DD449CF9F01DB31742842FE</vt:lpwstr>
  </property>
</Properties>
</file>