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2</w:t>
      </w:r>
      <w:r>
        <w:rPr>
          <w:rFonts w:hint="eastAsia" w:ascii="黑体" w:hAnsi="黑体" w:eastAsia="黑体" w:cs="黑体"/>
          <w:color w:val="333333"/>
          <w:spacing w:val="15"/>
          <w:kern w:val="0"/>
          <w:sz w:val="32"/>
          <w:szCs w:val="32"/>
          <w:shd w:val="clear" w:color="auto" w:fill="FFFFFF"/>
        </w:rPr>
        <w:t>：</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年度游戏企业研发投入奖励事项</w:t>
      </w:r>
    </w:p>
    <w:p>
      <w:pPr>
        <w:jc w:val="center"/>
        <w:outlineLvl w:val="0"/>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办事指南</w:t>
      </w: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themeColor="text1"/>
          <w:sz w:val="32"/>
        </w:rPr>
        <w:t>《北京经济技术开发区游戏产业</w:t>
      </w:r>
      <w:r>
        <w:rPr>
          <w:rFonts w:hint="eastAsia" w:ascii="仿宋_GB2312" w:hAnsi="仿宋_GB2312" w:eastAsia="仿宋_GB2312" w:cs="仿宋_GB2312"/>
          <w:sz w:val="32"/>
          <w:szCs w:val="32"/>
        </w:rPr>
        <w:t>政策》中第二条鼓励创新研发和内容创作第1项“支持企业开发共性技术平台、游戏引擎研发平台，推动游戏电竞技术创新和智能设备研发。每年安排专项资金鼓励该领域规模以上工业企业、国家高新技术企业加大研发投入，企业研发投入强度(或企业研发投入占比)高于年度行业目标值的，按照高出部分的20%给予支持，最高不超过300万元。</w:t>
      </w:r>
      <w:r>
        <w:rPr>
          <w:rFonts w:hint="eastAsia" w:ascii="仿宋_GB2312" w:hAnsi="仿宋_GB2312" w:eastAsia="仿宋_GB2312" w:cs="仿宋_GB2312"/>
          <w:bCs/>
          <w:color w:val="000000" w:themeColor="text1"/>
          <w:sz w:val="32"/>
        </w:rPr>
        <w:t>”</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adjustRightInd w:val="0"/>
        <w:snapToGrid w:val="0"/>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eastAsia="仿宋_GB2312"/>
          <w:sz w:val="32"/>
          <w:szCs w:val="32"/>
        </w:rPr>
        <w:t>度游戏企业研发投入奖励</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pStyle w:val="2"/>
        <w:adjustRightInd w:val="0"/>
        <w:snapToGrid w:val="0"/>
        <w:spacing w:line="560" w:lineRule="exact"/>
        <w:ind w:firstLine="640" w:firstLineChars="200"/>
        <w:rPr>
          <w:rFonts w:ascii="Times New Roman" w:eastAsia="仿宋_GB2312"/>
          <w:sz w:val="32"/>
          <w:szCs w:val="32"/>
        </w:rPr>
      </w:pPr>
      <w:r>
        <w:rPr>
          <w:rFonts w:hint="eastAsia" w:ascii="Times New Roman" w:eastAsia="仿宋_GB2312"/>
          <w:sz w:val="32"/>
          <w:szCs w:val="32"/>
        </w:rPr>
        <w:t>（一）申报主体应具有独立法人资格、实行独立核算，在经开区范围内依法注册、纳税、入统的企业或机构；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（二）申报主体</w:t>
      </w:r>
      <w:r>
        <w:rPr>
          <w:rFonts w:eastAsia="仿宋_GB2312"/>
          <w:sz w:val="32"/>
          <w:szCs w:val="32"/>
        </w:rPr>
        <w:t>实际生产、经营、研发活动在</w:t>
      </w:r>
      <w:r>
        <w:rPr>
          <w:rFonts w:hint="eastAsia" w:eastAsia="仿宋_GB2312"/>
          <w:sz w:val="32"/>
          <w:szCs w:val="32"/>
        </w:rPr>
        <w:t>经开区范围内；</w:t>
      </w:r>
    </w:p>
    <w:p>
      <w:pPr>
        <w:pStyle w:val="2"/>
        <w:adjustRightInd w:val="0"/>
        <w:snapToGrid w:val="0"/>
        <w:spacing w:line="560" w:lineRule="exact"/>
        <w:ind w:firstLine="640" w:firstLineChars="200"/>
        <w:rPr>
          <w:rFonts w:ascii="Times New Roman" w:eastAsia="仿宋_GB2312"/>
          <w:sz w:val="32"/>
          <w:szCs w:val="32"/>
        </w:rPr>
      </w:pPr>
      <w:r>
        <w:rPr>
          <w:rFonts w:hint="eastAsia" w:ascii="Times New Roman" w:eastAsia="仿宋_GB2312"/>
          <w:sz w:val="32"/>
          <w:szCs w:val="32"/>
        </w:rPr>
        <w:t>（三）申报主体从事游戏电竞领域的设备生产、引擎技术、内容研发、电子竞技、消费应用</w:t>
      </w:r>
      <w:r>
        <w:rPr>
          <w:rFonts w:ascii="Times New Roman" w:eastAsia="仿宋_GB2312"/>
          <w:sz w:val="32"/>
          <w:szCs w:val="32"/>
        </w:rPr>
        <w:t>等环节</w:t>
      </w:r>
      <w:r>
        <w:rPr>
          <w:rFonts w:hint="eastAsia" w:ascii="Times New Roman" w:eastAsia="仿宋_GB2312"/>
          <w:sz w:val="32"/>
          <w:szCs w:val="32"/>
        </w:rPr>
        <w:t>；</w:t>
      </w:r>
    </w:p>
    <w:p>
      <w:pPr>
        <w:pStyle w:val="2"/>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年度企业研发投入高于年度行业目标值；</w:t>
      </w:r>
    </w:p>
    <w:p>
      <w:pPr>
        <w:pStyle w:val="2"/>
        <w:adjustRightInd w:val="0"/>
        <w:snapToGrid w:val="0"/>
        <w:spacing w:line="560" w:lineRule="exact"/>
        <w:ind w:firstLine="640" w:firstLineChars="200"/>
        <w:rPr>
          <w:rFonts w:ascii="Times New Roman" w:eastAsia="仿宋_GB2312"/>
          <w:sz w:val="32"/>
          <w:szCs w:val="32"/>
        </w:rPr>
      </w:pPr>
      <w:r>
        <w:rPr>
          <w:rFonts w:ascii="Times New Roman" w:eastAsia="仿宋_GB2312"/>
          <w:sz w:val="32"/>
          <w:szCs w:val="32"/>
        </w:rPr>
        <w:t>（</w:t>
      </w:r>
      <w:r>
        <w:rPr>
          <w:rFonts w:hint="eastAsia" w:ascii="Times New Roman" w:eastAsia="仿宋_GB2312"/>
          <w:sz w:val="32"/>
          <w:szCs w:val="32"/>
        </w:rPr>
        <w:t>五</w:t>
      </w:r>
      <w:r>
        <w:rPr>
          <w:rFonts w:ascii="Times New Roman" w:eastAsia="仿宋_GB2312"/>
          <w:sz w:val="32"/>
          <w:szCs w:val="32"/>
        </w:rPr>
        <w:t>）在满足支持标准的情况下，优先支持以下单位</w:t>
      </w:r>
      <w:r>
        <w:rPr>
          <w:rFonts w:hint="eastAsia" w:ascii="Times New Roman" w:eastAsia="仿宋_GB2312"/>
          <w:sz w:val="32"/>
          <w:szCs w:val="32"/>
        </w:rPr>
        <w:t>：</w:t>
      </w:r>
    </w:p>
    <w:p>
      <w:pPr>
        <w:pStyle w:val="2"/>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年取得北京市新技术新产品（服务）证书；</w:t>
      </w:r>
    </w:p>
    <w:p>
      <w:pPr>
        <w:pStyle w:val="2"/>
        <w:adjustRightInd w:val="0"/>
        <w:snapToGrid w:val="0"/>
        <w:spacing w:line="560" w:lineRule="exact"/>
        <w:ind w:firstLine="640" w:firstLineChars="200"/>
        <w:rPr>
          <w:rFonts w:ascii="Times New Roman" w:eastAsia="仿宋_GB2312"/>
          <w:sz w:val="32"/>
          <w:szCs w:val="32"/>
        </w:rPr>
      </w:pPr>
      <w:r>
        <w:rPr>
          <w:rFonts w:hint="eastAsia" w:ascii="仿宋_GB2312" w:hAnsi="仿宋_GB2312" w:eastAsia="仿宋_GB2312" w:cs="仿宋_GB2312"/>
          <w:sz w:val="32"/>
          <w:szCs w:val="32"/>
        </w:rPr>
        <w:t>2.202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年取得发明专利或PCT授权。</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（一）企业研发投入强度(或企业研发投入占比)高于年度行业目标值的，按照高出部分的20%给予支持，最高不超过300万元。补贴金额以万元为单位，不足万元部分舍去。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（二）申报金额计算公式：（企业研发经费－企业收入×行业目标值）×20%。（行业目标值参照：规上企业3%、规下企业6%）。</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年度游戏企业研发投入奖励申报表，在线填写；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企业营业执照，</w:t>
      </w:r>
      <w:bookmarkStart w:id="0" w:name="_Hlk115191650"/>
      <w:r>
        <w:rPr>
          <w:rFonts w:hint="eastAsia" w:ascii="仿宋_GB2312" w:hAnsi="仿宋_GB2312" w:eastAsia="仿宋_GB2312" w:cs="仿宋_GB2312"/>
          <w:color w:val="000000" w:themeColor="text1"/>
          <w:sz w:val="32"/>
          <w:szCs w:val="32"/>
        </w:rPr>
        <w:t>选取电子证照</w:t>
      </w:r>
      <w:bookmarkEnd w:id="0"/>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银行账户信息，</w:t>
      </w:r>
      <w:bookmarkStart w:id="1" w:name="_Hlk115191672"/>
      <w:r>
        <w:rPr>
          <w:rFonts w:hint="eastAsia" w:ascii="仿宋_GB2312" w:hAnsi="仿宋_GB2312" w:eastAsia="仿宋_GB2312" w:cs="仿宋_GB2312"/>
          <w:color w:val="000000" w:themeColor="text1"/>
          <w:sz w:val="32"/>
          <w:szCs w:val="32"/>
        </w:rPr>
        <w:t>下载模板填写，</w:t>
      </w:r>
      <w:bookmarkEnd w:id="1"/>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bookmarkStart w:id="2" w:name="_Hlk113290483"/>
      <w:r>
        <w:rPr>
          <w:rFonts w:hint="eastAsia" w:ascii="仿宋_GB2312" w:hAnsi="仿宋_GB2312" w:eastAsia="仿宋_GB2312" w:cs="仿宋_GB2312"/>
          <w:color w:val="000000" w:themeColor="text1"/>
          <w:sz w:val="32"/>
          <w:szCs w:val="32"/>
        </w:rPr>
        <w:t>5.企业202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（按</w:t>
      </w:r>
      <w:r>
        <w:rPr>
          <w:rFonts w:hint="eastAsia" w:ascii="仿宋_GB2312" w:hAnsi="仿宋_GB2312" w:eastAsia="仿宋_GB2312" w:cs="仿宋_GB2312"/>
          <w:color w:val="000000" w:themeColor="text1"/>
          <w:sz w:val="32"/>
          <w:szCs w:val="32"/>
        </w:rPr>
        <w:t>入库期</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的税收完税证明，原件彩色扫描上传；</w:t>
      </w:r>
    </w:p>
    <w:bookmarkEnd w:id="2"/>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w:t>
      </w:r>
      <w:r>
        <w:rPr>
          <w:rFonts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年度研发投入相关证明，如2</w:t>
      </w:r>
      <w:r>
        <w:rPr>
          <w:rFonts w:ascii="仿宋_GB2312" w:hAnsi="仿宋_GB2312" w:eastAsia="仿宋_GB2312" w:cs="仿宋_GB2312"/>
          <w:color w:val="000000" w:themeColor="text1"/>
          <w:sz w:val="32"/>
          <w:szCs w:val="32"/>
        </w:rPr>
        <w:t>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年度财务审计报告或2</w:t>
      </w:r>
      <w:r>
        <w:rPr>
          <w:rFonts w:ascii="仿宋_GB2312" w:hAnsi="仿宋_GB2312" w:eastAsia="仿宋_GB2312" w:cs="仿宋_GB2312"/>
          <w:color w:val="000000" w:themeColor="text1"/>
          <w:sz w:val="32"/>
          <w:szCs w:val="32"/>
        </w:rPr>
        <w:t>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年度研发费用专项审计报告，原件</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themeColor="text1"/>
          <w:sz w:val="32"/>
          <w:szCs w:val="32"/>
        </w:rPr>
        <w:t>7.</w:t>
      </w:r>
      <w:bookmarkStart w:id="3" w:name="_Hlk113290808"/>
      <w:r>
        <w:rPr>
          <w:rFonts w:hint="eastAsia" w:ascii="仿宋_GB2312" w:hAnsi="仿宋_GB2312" w:eastAsia="仿宋_GB2312" w:cs="仿宋_GB2312"/>
          <w:color w:val="000000" w:themeColor="text1"/>
          <w:spacing w:val="6"/>
          <w:sz w:val="32"/>
          <w:szCs w:val="32"/>
        </w:rPr>
        <w:t>其他补充材料</w:t>
      </w:r>
      <w:bookmarkEnd w:id="3"/>
      <w:r>
        <w:rPr>
          <w:rFonts w:hint="eastAsia" w:ascii="仿宋_GB2312" w:hAnsi="仿宋_GB2312" w:eastAsia="仿宋_GB2312" w:cs="仿宋_GB2312"/>
          <w:color w:val="000000" w:themeColor="text1"/>
          <w:spacing w:val="6"/>
          <w:sz w:val="32"/>
          <w:szCs w:val="32"/>
        </w:rPr>
        <w:t>（如</w:t>
      </w:r>
      <w:r>
        <w:rPr>
          <w:rFonts w:hint="eastAsia" w:ascii="仿宋_GB2312" w:hAnsi="仿宋_GB2312" w:eastAsia="仿宋_GB2312" w:cs="仿宋_GB2312"/>
          <w:sz w:val="32"/>
          <w:szCs w:val="32"/>
        </w:rPr>
        <w:t>北京市新技术新产品（服务）证书、</w:t>
      </w:r>
      <w:r>
        <w:rPr>
          <w:rFonts w:hint="eastAsia" w:ascii="仿宋_GB2312" w:hAnsi="仿宋_GB2312" w:eastAsia="仿宋_GB2312" w:cs="仿宋_GB2312"/>
          <w:color w:val="000000" w:themeColor="text1"/>
          <w:spacing w:val="6"/>
          <w:sz w:val="32"/>
          <w:szCs w:val="32"/>
        </w:rPr>
        <w:t>发明专利或PCT授权）</w:t>
      </w:r>
      <w:r>
        <w:rPr>
          <w:rFonts w:hint="eastAsia" w:ascii="仿宋_GB2312" w:hAnsi="仿宋_GB2312" w:eastAsia="仿宋_GB2312" w:cs="仿宋_GB2312"/>
          <w:sz w:val="32"/>
          <w:szCs w:val="32"/>
        </w:rPr>
        <w:t>，原件彩色扫描上传。</w:t>
      </w:r>
    </w:p>
    <w:p>
      <w:pPr>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color w:val="000000"/>
          <w:kern w:val="2"/>
          <w:sz w:val="32"/>
          <w:szCs w:val="32"/>
        </w:rPr>
        <w:t>专家</w:t>
      </w:r>
      <w:r>
        <w:rPr>
          <w:rFonts w:hint="eastAsia" w:ascii="仿宋_GB2312" w:hAnsi="仿宋_GB2312" w:eastAsia="仿宋_GB2312" w:cs="仿宋_GB2312"/>
          <w:b/>
          <w:bCs/>
          <w:color w:val="000000"/>
          <w:kern w:val="2"/>
          <w:sz w:val="32"/>
          <w:szCs w:val="32"/>
        </w:rPr>
        <w:t>评审：</w:t>
      </w:r>
      <w:r>
        <w:rPr>
          <w:rFonts w:hint="eastAsia" w:ascii="仿宋_GB2312" w:hAnsi="仿宋_GB2312" w:eastAsia="仿宋_GB2312" w:cs="仿宋_GB2312"/>
          <w:color w:val="000000"/>
          <w:kern w:val="2"/>
          <w:sz w:val="32"/>
          <w:szCs w:val="32"/>
        </w:rPr>
        <w:t>经开区工委宣传文化部组织专家对申请材料进行评审，评审后将结果上传到系统。</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：经开区工委宣传文化部局对审核通过的申报主体拟定兑现扶持奖励金额。</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工委宣传文化部</w:t>
      </w:r>
    </w:p>
    <w:p>
      <w:pPr>
        <w:ind w:firstLine="640" w:firstLineChars="200"/>
        <w:outlineLvl w:val="0"/>
        <w:rPr>
          <w:rFonts w:ascii="黑体" w:hAnsi="黑体" w:eastAsia="黑体" w:cs="黑体"/>
          <w:sz w:val="32"/>
          <w:szCs w:val="32"/>
        </w:rPr>
      </w:pPr>
      <w:bookmarkStart w:id="4" w:name="_GoBack"/>
      <w:bookmarkEnd w:id="4"/>
      <w:r>
        <w:rPr>
          <w:rFonts w:hint="eastAsia" w:ascii="黑体" w:hAnsi="黑体" w:eastAsia="黑体" w:cs="黑体"/>
          <w:sz w:val="32"/>
          <w:szCs w:val="32"/>
        </w:rPr>
        <w:t>八、受理窗口</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w:t>
      </w:r>
      <w:r>
        <w:rPr>
          <w:rFonts w:ascii="仿宋_GB2312" w:hAnsi="仿宋_GB2312" w:eastAsia="仿宋_GB2312" w:cs="仿宋_GB2312"/>
          <w:sz w:val="32"/>
          <w:szCs w:val="32"/>
        </w:rPr>
        <w:t>010-67857362，工作日上午9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00，下午2:00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adjustRightInd w:val="0"/>
        <w:snapToGrid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F62F2"/>
    <w:rsid w:val="00110B3B"/>
    <w:rsid w:val="001145E7"/>
    <w:rsid w:val="00116B1C"/>
    <w:rsid w:val="00161422"/>
    <w:rsid w:val="00161CCE"/>
    <w:rsid w:val="001838DD"/>
    <w:rsid w:val="001B160C"/>
    <w:rsid w:val="00203194"/>
    <w:rsid w:val="002838D9"/>
    <w:rsid w:val="002C354A"/>
    <w:rsid w:val="00360EF1"/>
    <w:rsid w:val="003903AF"/>
    <w:rsid w:val="00395968"/>
    <w:rsid w:val="003A6F11"/>
    <w:rsid w:val="004564E2"/>
    <w:rsid w:val="00457B4D"/>
    <w:rsid w:val="004C6D72"/>
    <w:rsid w:val="004C7479"/>
    <w:rsid w:val="005F0F11"/>
    <w:rsid w:val="006A1513"/>
    <w:rsid w:val="006C39D3"/>
    <w:rsid w:val="006D0140"/>
    <w:rsid w:val="00710378"/>
    <w:rsid w:val="00792E93"/>
    <w:rsid w:val="00803491"/>
    <w:rsid w:val="0081609A"/>
    <w:rsid w:val="0083453E"/>
    <w:rsid w:val="00844BDB"/>
    <w:rsid w:val="00885B63"/>
    <w:rsid w:val="00900A14"/>
    <w:rsid w:val="00923A77"/>
    <w:rsid w:val="0098077A"/>
    <w:rsid w:val="009E5536"/>
    <w:rsid w:val="00A3406B"/>
    <w:rsid w:val="00A54D9F"/>
    <w:rsid w:val="00A64180"/>
    <w:rsid w:val="00B74D80"/>
    <w:rsid w:val="00C122AB"/>
    <w:rsid w:val="00C37D99"/>
    <w:rsid w:val="00C67ACC"/>
    <w:rsid w:val="00CD0341"/>
    <w:rsid w:val="00D27854"/>
    <w:rsid w:val="00D460B2"/>
    <w:rsid w:val="00D668C9"/>
    <w:rsid w:val="00D76185"/>
    <w:rsid w:val="00D85A9F"/>
    <w:rsid w:val="00EA199B"/>
    <w:rsid w:val="00FC57D9"/>
    <w:rsid w:val="00FF0362"/>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6F2D99"/>
    <w:rsid w:val="06B62BF6"/>
    <w:rsid w:val="06D3553D"/>
    <w:rsid w:val="06FE1C51"/>
    <w:rsid w:val="072A1178"/>
    <w:rsid w:val="074E6B15"/>
    <w:rsid w:val="078B6DBE"/>
    <w:rsid w:val="07936930"/>
    <w:rsid w:val="07B11C5A"/>
    <w:rsid w:val="08001F78"/>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8C7786"/>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5C3AC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3D2C75"/>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935769B"/>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642961"/>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4216F"/>
    <w:rsid w:val="7EFFFA7B"/>
    <w:rsid w:val="7F7CE283"/>
    <w:rsid w:val="7FC14E2C"/>
    <w:rsid w:val="9F6F6015"/>
    <w:rsid w:val="C7DB93C8"/>
    <w:rsid w:val="DD7E7DC7"/>
    <w:rsid w:val="DEF5E07B"/>
    <w:rsid w:val="EFEEB9E2"/>
    <w:rsid w:val="F5DBA8FA"/>
    <w:rsid w:val="FFF73784"/>
    <w:rsid w:val="FFFB1C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10"/>
    <w:link w:val="2"/>
    <w:qFormat/>
    <w:uiPriority w:val="0"/>
    <w:rPr>
      <w:rFonts w:ascii="宋体"/>
      <w:kern w:val="2"/>
      <w:sz w:val="18"/>
      <w:szCs w:val="18"/>
    </w:rPr>
  </w:style>
  <w:style w:type="character" w:customStyle="1" w:styleId="16">
    <w:name w:val="批注框文本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307</Words>
  <Characters>1750</Characters>
  <Lines>14</Lines>
  <Paragraphs>4</Paragraphs>
  <TotalTime>1</TotalTime>
  <ScaleCrop>false</ScaleCrop>
  <LinksUpToDate>false</LinksUpToDate>
  <CharactersWithSpaces>2053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2019-08-12T06:54:00Z</dcterms:created>
  <dc:creator>zkk</dc:creator>
  <cp:lastModifiedBy>admin</cp:lastModifiedBy>
  <cp:lastPrinted>2020-03-22T03:03:00Z</cp:lastPrinted>
  <dcterms:modified xsi:type="dcterms:W3CDTF">2023-05-15T08:47:17Z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