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常见问题解答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一、关于百强调研工作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1.北京民营企业百强调研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不设营收门槛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，仅限在北京登记注册的民营企业参与。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2.北京民营企业百强将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结合2023中国民营企业500强调研同步进行，</w:t>
      </w:r>
      <w:r>
        <w:rPr>
          <w:rFonts w:hint="eastAsia" w:ascii="仿宋_GB2312" w:eastAsia="仿宋_GB2312" w:cs="仿宋_GB2312"/>
          <w:b w:val="0"/>
          <w:bCs w:val="0"/>
        </w:rPr>
        <w:t>202</w:t>
      </w:r>
      <w:r>
        <w:rPr>
          <w:rFonts w:hint="eastAsia" w:ascii="仿宋_GB2312" w:eastAsia="仿宋_GB2312" w:cs="仿宋_GB2312"/>
          <w:b w:val="0"/>
          <w:bCs w:val="0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</w:rPr>
        <w:t>年度营收总额在5亿元以上的企业以及</w:t>
      </w:r>
      <w:r>
        <w:rPr>
          <w:rFonts w:hint="eastAsia" w:ascii="仿宋_GB2312" w:eastAsia="仿宋_GB2312"/>
          <w:b w:val="0"/>
          <w:bCs w:val="0"/>
        </w:rPr>
        <w:t>研发费用超过1亿元的企业，</w:t>
      </w:r>
      <w:r>
        <w:rPr>
          <w:rFonts w:hint="eastAsia" w:ascii="仿宋_GB2312" w:eastAsia="仿宋_GB2312"/>
          <w:b w:val="0"/>
          <w:bCs w:val="0"/>
          <w:lang w:val="en-US" w:eastAsia="zh-CN"/>
        </w:rPr>
        <w:t>我会将直接推荐给全国工商联参与500强调研。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lang w:val="en-US" w:eastAsia="zh-CN"/>
        </w:rPr>
        <w:t>3.企业在寄送申报材料时，请务必</w:t>
      </w:r>
      <w:r>
        <w:rPr>
          <w:rFonts w:hint="eastAsia" w:ascii="仿宋_GB2312" w:eastAsia="仿宋_GB2312" w:cs="仿宋_GB2312"/>
          <w:b w:val="0"/>
          <w:bCs/>
        </w:rPr>
        <w:t>提供财务报表（资产负债表、利润表）等证明材料。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二、调研表填写问题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1.网络申报系统，即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《2022年度全国工商联上规模民营企业调查表》，无论申报哪个榜单，都必须填写。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二维码小程序，即“分榜单”补充调研问卷，分为《2022年度企业基本信息补充调查表》和《2022年度北京民营企业社会责任调研问卷》，企业根据自身情况，选择相应的分榜单进行填写，可同时申报多个分榜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三、调研表部分名词解释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1.营收总额（营业收入总额）：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括企业的当期年度所有收入，即主营业务和其他业务收入、境内和境外的收入。银行机构的营收总额为净利息收入、手续费及佣金净收入、投资收益、公允价值变动收益、其他业务收入等。保险公司的营收总额是已赚净保费、投资收益、公允价值变动损益、其他业务收入、资产处置收益等。企业出租店铺收取租金的，营收总额只计算租金，承租企业的销售收入不能合并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2.缴税总额：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在中国大陆境内实际缴纳的税收总额，包括增值税、消费税、营业税、企业所得税以及其他各税种税收，不包括本企业（集团）代扣代缴其他企业或个人的各种税收，也不包括教育费附加、文化事业建设费等各项非税收缴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3.研发费用：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4.有息负债：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指短期借款、一年内到期的非流动负债、长期借款、应付债券、长期应付款等需承担利息的债务。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四、需寄送的纸质材料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《2022年度全国工商联上规模民营企业调查表》，即网络系统填报完成后导出打印的调研表，须法人签字（或签名章），并加盖企业公章以及骑缝章。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2.企业2022年度财务报表，即资产负债表、利润表，须体现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2021及2022两年的数据，并加盖企业公章。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17D487B"/>
    <w:rsid w:val="417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2023-05-11T01:23:00Z</dcterms:created>
  <dc:creator>凪</dc:creator>
  <cp:lastModifiedBy>凪</cp:lastModifiedBy>
  <dcterms:modified xsi:type="dcterms:W3CDTF">2023-05-11T01:34:37Z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A86459F306E349CF8C2F6C8A22C327FE_11</vt:lpwstr>
  </property>
</Properties>
</file>