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00" w:lineRule="exact"/>
        <w:outlineLvl w:val="0"/>
        <w:rPr>
          <w:rFonts w:ascii="仿宋_GB2312" w:eastAsia="仿宋_GB2312" w:cs="宋体"/>
          <w:b/>
          <w:bCs/>
          <w:sz w:val="32"/>
          <w:szCs w:val="32"/>
        </w:rPr>
      </w:pPr>
      <w:r>
        <w:rPr>
          <w:rFonts w:hint="eastAsia" w:ascii="仿宋_GB2312" w:eastAsia="仿宋_GB2312" w:cs="宋体"/>
          <w:b/>
          <w:bCs/>
          <w:sz w:val="32"/>
          <w:szCs w:val="32"/>
        </w:rPr>
        <w:t>附件</w:t>
      </w: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宋体"/>
          <w:b/>
          <w:bCs/>
          <w:sz w:val="32"/>
          <w:szCs w:val="32"/>
        </w:rPr>
        <w:t>-</w:t>
      </w:r>
      <w:r>
        <w:rPr>
          <w:rFonts w:ascii="仿宋_GB2312" w:eastAsia="仿宋_GB2312" w:cs="宋体"/>
          <w:b/>
          <w:bCs/>
          <w:sz w:val="32"/>
          <w:szCs w:val="32"/>
        </w:rPr>
        <w:t>3</w:t>
      </w:r>
      <w:r>
        <w:rPr>
          <w:rFonts w:hint="eastAsia" w:ascii="仿宋_GB2312" w:eastAsia="仿宋_GB2312" w:cs="宋体"/>
          <w:b/>
          <w:bCs/>
          <w:sz w:val="32"/>
          <w:szCs w:val="32"/>
        </w:rPr>
        <w:t>：</w:t>
      </w:r>
      <w:r>
        <w:rPr>
          <w:rFonts w:hint="eastAsia" w:ascii="仿宋_GB2312" w:eastAsia="仿宋_GB2312" w:cs="宋体"/>
          <w:b/>
          <w:bCs/>
          <w:sz w:val="32"/>
          <w:szCs w:val="32"/>
          <w:lang w:eastAsia="zh-CN"/>
        </w:rPr>
        <w:t>顺义区</w:t>
      </w:r>
      <w:r>
        <w:rPr>
          <w:rFonts w:hint="eastAsia" w:ascii="仿宋_GB2312" w:eastAsia="仿宋_GB2312" w:cs="宋体"/>
          <w:b/>
          <w:bCs/>
          <w:sz w:val="32"/>
          <w:szCs w:val="32"/>
        </w:rPr>
        <w:t>专业化服务机构评价指标</w:t>
      </w:r>
    </w:p>
    <w:tbl>
      <w:tblPr>
        <w:tblStyle w:val="5"/>
        <w:tblW w:w="83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553"/>
        <w:gridCol w:w="2355"/>
        <w:gridCol w:w="508"/>
        <w:gridCol w:w="519"/>
        <w:gridCol w:w="565"/>
        <w:gridCol w:w="531"/>
        <w:gridCol w:w="562"/>
        <w:gridCol w:w="21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综合实力</w:t>
            </w:r>
          </w:p>
        </w:tc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服务场地面积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平方米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管理制度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服务资质、质量管理相关证书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财务指标</w:t>
            </w:r>
          </w:p>
        </w:tc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总资产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服务业绩</w:t>
            </w:r>
          </w:p>
        </w:tc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服务顺义区企业数量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家次/年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服务经认定的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创新创业型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企业数量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家次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服务满意度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服务团队</w:t>
            </w:r>
          </w:p>
        </w:tc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服务人员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中级及以上技术职称专业人员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0" w:hRule="atLeast"/>
        </w:trPr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服务能力评价（专家评价）</w:t>
            </w:r>
          </w:p>
        </w:tc>
        <w:tc>
          <w:tcPr>
            <w:tcW w:w="5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服务方案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3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1.服务目标明确，市场开拓思路清晰；                               2.服务方案合理可行，具有开展服务所需的资源、研究方法等，服务进度、质量可控；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3.服务方案充分反映行业特性、重点难点把握准确、关键点能够有效管理。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服务承诺及保障措施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服务承诺及保障措施齐全、完善、有效、可行性强、针对性强。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增值服务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为顺义区中小微企业提供特有的增值服务内容。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产品服务报价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报价合理性及为顺义区中小微企业优惠幅度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。</w:t>
            </w:r>
          </w:p>
        </w:tc>
      </w:tr>
    </w:tbl>
    <w:p>
      <w:pPr>
        <w:spacing w:line="540" w:lineRule="exact"/>
        <w:rPr>
          <w:rFonts w:ascii="仿宋_GB2312" w:eastAsia="仿宋_GB2312"/>
          <w:sz w:val="28"/>
          <w:szCs w:val="28"/>
          <w:highlight w:val="yellow"/>
        </w:rPr>
      </w:pPr>
    </w:p>
    <w:p>
      <w:pPr>
        <w:pStyle w:val="3"/>
        <w:snapToGrid w:val="0"/>
        <w:spacing w:line="600" w:lineRule="exact"/>
        <w:rPr>
          <w:rFonts w:ascii="仿宋_GB2312" w:eastAsia="仿宋_GB2312"/>
          <w:sz w:val="28"/>
          <w:szCs w:val="28"/>
          <w:highlight w:val="yellow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974E8"/>
    <w:rsid w:val="0EC71303"/>
    <w:rsid w:val="2E6B6859"/>
    <w:rsid w:val="62B974E8"/>
    <w:rsid w:val="6574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2021-05-25T08:17:00Z</dcterms:created>
  <dc:creator>小福</dc:creator>
  <cp:lastModifiedBy>zxqy</cp:lastModifiedBy>
  <dcterms:modified xsi:type="dcterms:W3CDTF">2023-02-03T04:02:43Z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56CD36F136EE4B18A8C7C9B5261BA316</vt:lpwstr>
  </property>
</Properties>
</file>