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880" w:hanging="880" w:hangingChars="2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怀柔</w:t>
      </w:r>
      <w:r>
        <w:rPr>
          <w:rFonts w:hint="eastAsia" w:ascii="方正小标宋简体" w:hAnsi="方正小标宋简体" w:eastAsia="方正小标宋简体" w:cs="方正小标宋简体"/>
          <w:color w:val="000000"/>
          <w:kern w:val="0"/>
          <w:sz w:val="44"/>
          <w:szCs w:val="44"/>
        </w:rPr>
        <w:t>区关于组织开展202</w:t>
      </w:r>
      <w:r>
        <w:rPr>
          <w:rFonts w:ascii="方正小标宋简体" w:hAnsi="方正小标宋简体" w:eastAsia="方正小标宋简体" w:cs="方正小标宋简体"/>
          <w:color w:val="000000"/>
          <w:kern w:val="0"/>
          <w:sz w:val="44"/>
          <w:szCs w:val="44"/>
        </w:rPr>
        <w:t>3</w:t>
      </w:r>
      <w:r>
        <w:rPr>
          <w:rFonts w:hint="eastAsia" w:ascii="方正小标宋简体" w:hAnsi="方正小标宋简体" w:eastAsia="方正小标宋简体" w:cs="方正小标宋简体"/>
          <w:color w:val="000000"/>
          <w:kern w:val="0"/>
          <w:sz w:val="44"/>
          <w:szCs w:val="44"/>
        </w:rPr>
        <w:t>年北京市专精特新</w:t>
      </w:r>
    </w:p>
    <w:p>
      <w:pPr>
        <w:spacing w:line="560" w:lineRule="exact"/>
        <w:ind w:left="880" w:hanging="880" w:hangingChars="200"/>
        <w:jc w:val="center"/>
        <w:rPr>
          <w:rStyle w:val="16"/>
          <w:rFonts w:ascii="方正小标宋简体" w:hAnsi="方正小标宋简体" w:eastAsia="方正小标宋简体" w:cs="方正小标宋简体"/>
          <w:color w:val="000000"/>
          <w:kern w:val="0"/>
          <w:sz w:val="44"/>
          <w:szCs w:val="44"/>
          <w:u w:val="none"/>
        </w:rPr>
      </w:pPr>
      <w:r>
        <w:rPr>
          <w:rFonts w:hint="eastAsia" w:ascii="方正小标宋简体" w:hAnsi="方正小标宋简体" w:eastAsia="方正小标宋简体" w:cs="方正小标宋简体"/>
          <w:color w:val="000000"/>
          <w:kern w:val="0"/>
          <w:sz w:val="44"/>
          <w:szCs w:val="44"/>
        </w:rPr>
        <w:t>中小企业自荐工作的通知</w:t>
      </w:r>
    </w:p>
    <w:p>
      <w:pPr>
        <w:wordWrap w:val="0"/>
        <w:topLinePunct/>
        <w:snapToGrid w:val="0"/>
        <w:spacing w:line="560" w:lineRule="exact"/>
        <w:rPr>
          <w:rStyle w:val="16"/>
          <w:rFonts w:ascii="仿宋_GB2312" w:hAnsi="仿宋_GB2312" w:eastAsia="仿宋_GB2312" w:cs="仿宋_GB2312"/>
          <w:color w:val="333333"/>
          <w:kern w:val="0"/>
          <w:sz w:val="32"/>
          <w:szCs w:val="32"/>
          <w:u w:val="none"/>
          <w:shd w:val="clear" w:color="auto" w:fill="FFFFFF"/>
        </w:rPr>
      </w:pPr>
    </w:p>
    <w:p>
      <w:pPr>
        <w:wordWrap w:val="0"/>
        <w:topLinePunct/>
        <w:snapToGrid w:val="0"/>
        <w:spacing w:line="560" w:lineRule="exact"/>
        <w:rPr>
          <w:rStyle w:val="16"/>
          <w:rFonts w:ascii="仿宋_GB2312" w:hAnsi="仿宋_GB2312" w:eastAsia="仿宋_GB2312" w:cs="仿宋_GB2312"/>
          <w:color w:val="333333"/>
          <w:kern w:val="0"/>
          <w:sz w:val="32"/>
          <w:szCs w:val="32"/>
          <w:u w:val="none"/>
          <w:shd w:val="clear" w:color="auto" w:fill="FFFFFF"/>
        </w:rPr>
      </w:pPr>
      <w:r>
        <w:rPr>
          <w:rStyle w:val="16"/>
          <w:rFonts w:ascii="仿宋_GB2312" w:hAnsi="仿宋_GB2312" w:eastAsia="仿宋_GB2312" w:cs="仿宋_GB2312"/>
          <w:color w:val="333333"/>
          <w:kern w:val="0"/>
          <w:sz w:val="32"/>
          <w:szCs w:val="32"/>
          <w:u w:val="none"/>
          <w:shd w:val="clear" w:color="auto" w:fill="FFFFFF"/>
        </w:rPr>
        <w:t>各</w:t>
      </w:r>
      <w:r>
        <w:rPr>
          <w:rStyle w:val="16"/>
          <w:rFonts w:hint="eastAsia" w:ascii="仿宋_GB2312" w:hAnsi="仿宋_GB2312" w:eastAsia="仿宋_GB2312" w:cs="仿宋_GB2312"/>
          <w:color w:val="333333"/>
          <w:kern w:val="0"/>
          <w:sz w:val="32"/>
          <w:szCs w:val="32"/>
          <w:u w:val="none"/>
          <w:shd w:val="clear" w:color="auto" w:fill="FFFFFF"/>
        </w:rPr>
        <w:t>有关企业：</w:t>
      </w:r>
    </w:p>
    <w:p>
      <w:pPr>
        <w:wordWrap w:val="0"/>
        <w:topLinePunct/>
        <w:snapToGrid w:val="0"/>
        <w:spacing w:line="560" w:lineRule="exact"/>
        <w:ind w:firstLine="640" w:firstLineChars="200"/>
        <w:rPr>
          <w:rFonts w:hint="eastAsia" w:ascii="仿宋_GB2312" w:hAnsi="Times New Roman" w:eastAsia="仿宋_GB2312" w:cs="Times New Roman"/>
          <w:sz w:val="32"/>
          <w:szCs w:val="32"/>
          <w:shd w:val="clear" w:color="auto" w:fill="FFFFFF"/>
        </w:rPr>
      </w:pPr>
      <w:r>
        <w:rPr>
          <w:rStyle w:val="25"/>
          <w:rFonts w:hint="eastAsia" w:ascii="仿宋_GB2312" w:eastAsia="仿宋_GB2312"/>
          <w:color w:val="auto"/>
          <w:kern w:val="0"/>
          <w:sz w:val="32"/>
          <w:szCs w:val="32"/>
          <w:u w:val="none"/>
          <w:shd w:val="clear" w:color="auto" w:fill="FFFFFF"/>
        </w:rPr>
        <w:t>根据《北京市优质中小企业梯度管理实施细则》（以下简称“实施细则”）要求，</w:t>
      </w:r>
      <w:r>
        <w:rPr>
          <w:rFonts w:hint="eastAsia" w:ascii="仿宋_GB2312" w:eastAsia="仿宋_GB2312"/>
          <w:kern w:val="0"/>
          <w:sz w:val="32"/>
          <w:szCs w:val="32"/>
        </w:rPr>
        <w:t>为引导北京市中小企业向专业化、精细化、特色化、新颖化方向高质量发展，提升中小企业创新能力和专业化水平，现</w:t>
      </w:r>
      <w:r>
        <w:rPr>
          <w:rStyle w:val="25"/>
          <w:rFonts w:hint="eastAsia" w:ascii="仿宋_GB2312" w:eastAsia="仿宋_GB2312"/>
          <w:color w:val="auto"/>
          <w:kern w:val="0"/>
          <w:sz w:val="32"/>
          <w:szCs w:val="32"/>
          <w:u w:val="none"/>
          <w:shd w:val="clear" w:color="auto" w:fill="FFFFFF"/>
        </w:rPr>
        <w:t>组织开展2023年专精特新中小企业自荐工作。相关事项通知如下：</w:t>
      </w:r>
    </w:p>
    <w:p>
      <w:pPr>
        <w:pStyle w:val="4"/>
        <w:spacing w:before="0" w:after="0" w:line="560" w:lineRule="exact"/>
        <w:rPr>
          <w:rFonts w:hint="eastAsia" w:ascii="黑体" w:hAnsi="黑体"/>
          <w:shd w:val="clear" w:color="auto" w:fill="FFFFFF"/>
        </w:rPr>
      </w:pPr>
      <w:r>
        <w:rPr>
          <w:rFonts w:hint="eastAsia" w:ascii="黑体" w:hAnsi="黑体"/>
          <w:shd w:val="clear" w:color="auto" w:fill="FFFFFF"/>
        </w:rPr>
        <w:t>一、组织实施</w:t>
      </w:r>
    </w:p>
    <w:p>
      <w:pPr>
        <w:wordWrap w:val="0"/>
        <w:topLinePunct/>
        <w:snapToGrid w:val="0"/>
        <w:spacing w:line="56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1.北京市专精特新中小企业自荐采取敞口申报，全年开放，季度认定的方式，每季度首日0:00-末日24:00为一个申报周期。经公告认定的创新型中小企业按工商注册属地自</w:t>
      </w:r>
      <w:r>
        <w:rPr>
          <w:rFonts w:ascii="仿宋_GB2312" w:hAnsi="仿宋_GB2312" w:eastAsia="仿宋_GB2312" w:cs="仿宋_GB2312"/>
          <w:color w:val="000000"/>
          <w:kern w:val="0"/>
          <w:sz w:val="32"/>
          <w:szCs w:val="32"/>
        </w:rPr>
        <w:t>愿登录</w:t>
      </w:r>
      <w:r>
        <w:rPr>
          <w:rFonts w:ascii="仿宋_GB2312" w:hAnsi="仿宋_GB2312" w:eastAsia="仿宋_GB2312" w:cs="仿宋_GB2312"/>
          <w:sz w:val="32"/>
          <w:szCs w:val="32"/>
        </w:rPr>
        <w:t>优质中小企业梯度培育平台（http://zjtx.miit.gov.cn，以下简称“培育平台”）</w:t>
      </w:r>
      <w:r>
        <w:rPr>
          <w:rFonts w:hint="eastAsia" w:ascii="仿宋_GB2312" w:hAnsi="仿宋_GB2312" w:eastAsia="仿宋_GB2312" w:cs="仿宋_GB2312"/>
          <w:color w:val="000000"/>
          <w:kern w:val="0"/>
          <w:sz w:val="32"/>
          <w:szCs w:val="32"/>
        </w:rPr>
        <w:t>，</w:t>
      </w:r>
      <w:r>
        <w:rPr>
          <w:rFonts w:hint="eastAsia" w:ascii="仿宋_GB2312" w:hAnsi="Calibri" w:eastAsia="仿宋_GB2312" w:cs="Times New Roman"/>
          <w:sz w:val="32"/>
          <w:szCs w:val="32"/>
        </w:rPr>
        <w:t>参照专精特新中小企业认定标准（附件</w:t>
      </w:r>
      <w:r>
        <w:rPr>
          <w:rFonts w:ascii="仿宋_GB2312" w:hAnsi="Calibri" w:eastAsia="仿宋_GB2312" w:cs="Times New Roman"/>
          <w:sz w:val="32"/>
          <w:szCs w:val="32"/>
        </w:rPr>
        <w:t>1</w:t>
      </w:r>
      <w:r>
        <w:rPr>
          <w:rFonts w:hint="eastAsia" w:ascii="仿宋_GB2312" w:hAnsi="Calibri" w:eastAsia="仿宋_GB2312" w:cs="Times New Roman"/>
          <w:sz w:val="32"/>
          <w:szCs w:val="32"/>
        </w:rPr>
        <w:t>）和资料清单模板（附件</w:t>
      </w:r>
      <w:r>
        <w:rPr>
          <w:rFonts w:ascii="仿宋_GB2312" w:hAnsi="Calibri" w:eastAsia="仿宋_GB2312" w:cs="Times New Roman"/>
          <w:sz w:val="32"/>
          <w:szCs w:val="32"/>
        </w:rPr>
        <w:t>2</w:t>
      </w:r>
      <w:r>
        <w:rPr>
          <w:rFonts w:hint="eastAsia" w:ascii="仿宋_GB2312" w:hAnsi="Calibri" w:eastAsia="仿宋_GB2312" w:cs="Times New Roman"/>
          <w:sz w:val="32"/>
          <w:szCs w:val="32"/>
        </w:rPr>
        <w:t>），如实填报并提交企业相关信息、上传对应佐证材料</w:t>
      </w:r>
      <w:r>
        <w:rPr>
          <w:rFonts w:hint="eastAsia" w:ascii="仿宋_GB2312" w:hAnsi="Calibri" w:eastAsia="仿宋_GB2312" w:cs="Times New Roman"/>
          <w:kern w:val="0"/>
          <w:sz w:val="32"/>
          <w:szCs w:val="32"/>
        </w:rPr>
        <w:t>。</w:t>
      </w:r>
    </w:p>
    <w:p>
      <w:pPr>
        <w:wordWrap w:val="0"/>
        <w:topLinePunct/>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lang w:eastAsia="zh-CN"/>
        </w:rPr>
        <w:t>怀柔</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eastAsia="zh-CN"/>
        </w:rPr>
        <w:t>经济和信息化局</w:t>
      </w:r>
      <w:r>
        <w:rPr>
          <w:rFonts w:hint="eastAsia" w:ascii="仿宋_GB2312" w:hAnsi="仿宋_GB2312" w:eastAsia="仿宋_GB2312" w:cs="仿宋_GB2312"/>
          <w:color w:val="000000"/>
          <w:kern w:val="0"/>
          <w:sz w:val="32"/>
          <w:szCs w:val="32"/>
        </w:rPr>
        <w:t>负责组织申报、评审和推荐工作，在</w:t>
      </w:r>
      <w:r>
        <w:rPr>
          <w:rFonts w:ascii="仿宋_GB2312" w:hAnsi="仿宋_GB2312" w:eastAsia="仿宋_GB2312" w:cs="仿宋_GB2312"/>
          <w:color w:val="000000"/>
          <w:kern w:val="0"/>
          <w:sz w:val="32"/>
          <w:szCs w:val="32"/>
        </w:rPr>
        <w:t>次</w:t>
      </w:r>
      <w:r>
        <w:rPr>
          <w:rFonts w:hint="eastAsia" w:ascii="仿宋_GB2312" w:hAnsi="仿宋_GB2312" w:eastAsia="仿宋_GB2312" w:cs="仿宋_GB2312"/>
          <w:color w:val="000000"/>
          <w:kern w:val="0"/>
          <w:sz w:val="32"/>
          <w:szCs w:val="32"/>
        </w:rPr>
        <w:t>季度首月</w:t>
      </w:r>
      <w:r>
        <w:rPr>
          <w:rFonts w:ascii="仿宋_GB2312" w:hAnsi="仿宋_GB2312" w:eastAsia="仿宋_GB2312" w:cs="仿宋_GB2312"/>
          <w:color w:val="000000"/>
          <w:kern w:val="0"/>
          <w:sz w:val="32"/>
          <w:szCs w:val="32"/>
        </w:rPr>
        <w:t>的十个工作日内</w:t>
      </w:r>
      <w:r>
        <w:rPr>
          <w:rFonts w:hint="eastAsia" w:ascii="仿宋_GB2312" w:hAnsi="仿宋_GB2312" w:eastAsia="仿宋_GB2312" w:cs="仿宋_GB2312"/>
          <w:color w:val="000000"/>
          <w:kern w:val="0"/>
          <w:sz w:val="32"/>
          <w:szCs w:val="32"/>
        </w:rPr>
        <w:t>，向市经济和信息化局提交评审结论</w:t>
      </w:r>
      <w:r>
        <w:rPr>
          <w:rFonts w:ascii="仿宋_GB2312" w:hAnsi="仿宋_GB2312" w:eastAsia="仿宋_GB2312" w:cs="仿宋_GB2312"/>
          <w:color w:val="000000"/>
          <w:kern w:val="0"/>
          <w:sz w:val="32"/>
          <w:szCs w:val="32"/>
        </w:rPr>
        <w:t>和</w:t>
      </w:r>
      <w:r>
        <w:rPr>
          <w:rFonts w:hint="eastAsia" w:ascii="仿宋_GB2312" w:hAnsi="仿宋_GB2312" w:eastAsia="仿宋_GB2312" w:cs="仿宋_GB2312"/>
          <w:color w:val="000000"/>
          <w:kern w:val="0"/>
          <w:sz w:val="32"/>
          <w:szCs w:val="32"/>
        </w:rPr>
        <w:t>符合认定标准的</w:t>
      </w:r>
      <w:r>
        <w:rPr>
          <w:rFonts w:ascii="仿宋_GB2312" w:hAnsi="仿宋_GB2312" w:eastAsia="仿宋_GB2312" w:cs="仿宋_GB2312"/>
          <w:color w:val="000000"/>
          <w:kern w:val="0"/>
          <w:sz w:val="32"/>
          <w:szCs w:val="32"/>
        </w:rPr>
        <w:t>推荐企业名单</w:t>
      </w:r>
      <w:r>
        <w:rPr>
          <w:rFonts w:hint="eastAsia" w:ascii="仿宋_GB2312" w:hAnsi="仿宋_GB2312" w:eastAsia="仿宋_GB2312" w:cs="仿宋_GB2312"/>
          <w:color w:val="000000"/>
          <w:kern w:val="0"/>
          <w:sz w:val="32"/>
          <w:szCs w:val="32"/>
        </w:rPr>
        <w:t>。市经济和信息化局经</w:t>
      </w:r>
      <w:r>
        <w:rPr>
          <w:rFonts w:ascii="仿宋_GB2312" w:hAnsi="仿宋_GB2312" w:eastAsia="仿宋_GB2312" w:cs="仿宋_GB2312"/>
          <w:color w:val="000000"/>
          <w:kern w:val="0"/>
          <w:sz w:val="32"/>
          <w:szCs w:val="32"/>
        </w:rPr>
        <w:t>核验</w:t>
      </w:r>
      <w:r>
        <w:rPr>
          <w:rFonts w:hint="eastAsia" w:ascii="仿宋_GB2312" w:hAnsi="仿宋_GB2312" w:eastAsia="仿宋_GB2312" w:cs="仿宋_GB2312"/>
          <w:color w:val="000000"/>
          <w:kern w:val="0"/>
          <w:sz w:val="32"/>
          <w:szCs w:val="32"/>
        </w:rPr>
        <w:t>、公示、公告认定的北京市专精特新中小企业，并</w:t>
      </w:r>
      <w:r>
        <w:rPr>
          <w:rFonts w:ascii="仿宋_GB2312" w:hAnsi="仿宋_GB2312" w:eastAsia="仿宋_GB2312" w:cs="仿宋_GB2312"/>
          <w:color w:val="000000"/>
          <w:kern w:val="0"/>
          <w:sz w:val="32"/>
          <w:szCs w:val="32"/>
        </w:rPr>
        <w:t>颁发证书和牌匾</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公示期内，</w:t>
      </w:r>
      <w:r>
        <w:rPr>
          <w:rFonts w:hint="eastAsia" w:ascii="仿宋_GB2312" w:hAnsi="仿宋_GB2312" w:eastAsia="仿宋_GB2312" w:cs="仿宋_GB2312"/>
          <w:kern w:val="0"/>
          <w:sz w:val="32"/>
          <w:szCs w:val="32"/>
          <w:lang w:eastAsia="zh-CN"/>
        </w:rPr>
        <w:t>怀柔</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eastAsia="zh-CN"/>
        </w:rPr>
        <w:t>经济和信息化局</w:t>
      </w:r>
      <w:r>
        <w:rPr>
          <w:rFonts w:ascii="仿宋_GB2312" w:hAnsi="仿宋_GB2312" w:eastAsia="仿宋_GB2312" w:cs="仿宋_GB2312"/>
          <w:color w:val="000000"/>
          <w:kern w:val="0"/>
          <w:sz w:val="32"/>
          <w:szCs w:val="32"/>
        </w:rPr>
        <w:t>对本区企业的申诉信息进行答疑。</w:t>
      </w:r>
    </w:p>
    <w:p>
      <w:pPr>
        <w:widowControl/>
        <w:wordWrap w:val="0"/>
        <w:spacing w:line="56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bCs/>
          <w:sz w:val="32"/>
          <w:szCs w:val="32"/>
        </w:rPr>
        <w:t>3.研发费用直通车条件认定标准。《实施细则》规定，企业</w:t>
      </w:r>
      <w:r>
        <w:rPr>
          <w:rFonts w:hint="eastAsia" w:ascii="仿宋_GB2312" w:hAnsi="Calibri" w:eastAsia="仿宋_GB2312" w:cs="Times New Roman"/>
          <w:sz w:val="32"/>
          <w:szCs w:val="32"/>
        </w:rPr>
        <w:t>近两年研发费用总额均值在1000万元以上可作为专精特新中小企业认定直通车的条件之一。</w:t>
      </w:r>
      <w:r>
        <w:rPr>
          <w:rFonts w:hint="eastAsia" w:ascii="仿宋_GB2312" w:hAnsi="Calibri" w:eastAsia="仿宋_GB2312" w:cs="Times New Roman"/>
          <w:kern w:val="0"/>
          <w:sz w:val="32"/>
          <w:szCs w:val="32"/>
        </w:rPr>
        <w:t>拟</w:t>
      </w:r>
      <w:r>
        <w:rPr>
          <w:rFonts w:hint="eastAsia" w:ascii="仿宋_GB2312" w:hAnsi="Calibri" w:eastAsia="仿宋_GB2312" w:cs="Times New Roman"/>
          <w:color w:val="000000"/>
          <w:kern w:val="0"/>
          <w:sz w:val="32"/>
          <w:szCs w:val="32"/>
        </w:rPr>
        <w:t>通过此项直通车条件申报专精特新的创新型中小企业，需提供两个会计年度（2021年-2022年）的财务审计报告（含资产负债表、利润及利润分配表、现金流量表、附注</w:t>
      </w:r>
      <w:r>
        <w:rPr>
          <w:rFonts w:hint="eastAsia" w:ascii="仿宋_GB2312" w:hAnsi="Calibri" w:eastAsia="仿宋_GB2312" w:cs="Times New Roman"/>
          <w:kern w:val="0"/>
          <w:sz w:val="32"/>
          <w:szCs w:val="32"/>
        </w:rPr>
        <w:t>等</w:t>
      </w:r>
      <w:r>
        <w:rPr>
          <w:rFonts w:hint="eastAsia" w:ascii="仿宋_GB2312" w:hAnsi="Calibri" w:eastAsia="仿宋_GB2312" w:cs="Times New Roman"/>
          <w:color w:val="000000"/>
          <w:kern w:val="0"/>
          <w:sz w:val="32"/>
          <w:szCs w:val="32"/>
        </w:rPr>
        <w:t>，实际年限不足2年的按实际经营年限）。现</w:t>
      </w:r>
      <w:r>
        <w:rPr>
          <w:rFonts w:hint="eastAsia" w:ascii="仿宋_GB2312" w:hAnsi="Calibri" w:eastAsia="仿宋_GB2312" w:cs="Times New Roman"/>
          <w:kern w:val="0"/>
          <w:sz w:val="32"/>
          <w:szCs w:val="32"/>
        </w:rPr>
        <w:t>对中介机构条件、研发费用内容等认定标准做进一步明确要求。</w:t>
      </w:r>
    </w:p>
    <w:p>
      <w:pPr>
        <w:topLinePunct/>
        <w:autoSpaceDE w:val="0"/>
        <w:adjustRightInd w:val="0"/>
        <w:snapToGrid w:val="0"/>
        <w:spacing w:line="560" w:lineRule="exact"/>
        <w:ind w:firstLine="642" w:firstLineChars="200"/>
        <w:rPr>
          <w:rFonts w:hint="eastAsia" w:ascii="Times New Roman" w:hAnsi="Times New Roman" w:eastAsia="仿宋_GB2312" w:cs="Times New Roman"/>
          <w:sz w:val="32"/>
          <w:szCs w:val="32"/>
        </w:rPr>
      </w:pPr>
      <w:r>
        <w:rPr>
          <w:rFonts w:hint="eastAsia" w:ascii="仿宋_GB2312" w:hAnsi="Calibri" w:eastAsia="仿宋_GB2312" w:cs="Times New Roman"/>
          <w:b/>
          <w:bCs/>
          <w:kern w:val="0"/>
          <w:sz w:val="32"/>
          <w:szCs w:val="32"/>
        </w:rPr>
        <w:t>（1）中介机构条件。</w:t>
      </w:r>
      <w:r>
        <w:rPr>
          <w:rFonts w:hint="eastAsia" w:ascii="仿宋_GB2312" w:hAnsi="Calibri" w:eastAsia="仿宋_GB2312" w:cs="Times New Roman"/>
          <w:kern w:val="0"/>
          <w:sz w:val="32"/>
          <w:szCs w:val="32"/>
        </w:rPr>
        <w:t>出具财务审计报告或研发</w:t>
      </w:r>
      <w:r>
        <w:rPr>
          <w:rFonts w:hint="eastAsia" w:ascii="仿宋_GB2312" w:hAnsi="Times New Roman" w:eastAsia="仿宋_GB2312" w:cs="Times New Roman"/>
          <w:sz w:val="32"/>
          <w:szCs w:val="32"/>
        </w:rPr>
        <w:t>专项审计报告的中介机构应同时符合以下条件。</w:t>
      </w:r>
    </w:p>
    <w:p>
      <w:pPr>
        <w:topLinePunct/>
        <w:autoSpaceDE w:val="0"/>
        <w:adjustRightInd w:val="0"/>
        <w:snapToGrid w:val="0"/>
        <w:spacing w:line="560" w:lineRule="exact"/>
        <w:ind w:firstLine="600" w:firstLineChars="200"/>
        <w:rPr>
          <w:rFonts w:hint="eastAsia" w:ascii="Times New Roman" w:hAnsi="Times New Roman" w:eastAsia="仿宋_GB2312" w:cs="Times New Roman"/>
          <w:sz w:val="32"/>
          <w:szCs w:val="32"/>
        </w:rPr>
      </w:pPr>
      <w:r>
        <w:rPr>
          <w:rFonts w:ascii="Calibri" w:hAnsi="Calibri" w:eastAsia="宋体" w:cs="Calibri"/>
          <w:sz w:val="30"/>
          <w:szCs w:val="30"/>
        </w:rPr>
        <w:t>①</w:t>
      </w:r>
      <w:r>
        <w:rPr>
          <w:rFonts w:hint="eastAsia" w:ascii="仿宋_GB2312" w:hAnsi="Times New Roman" w:eastAsia="仿宋_GB2312" w:cs="Times New Roman"/>
          <w:sz w:val="32"/>
          <w:szCs w:val="32"/>
        </w:rPr>
        <w:t>具备独立执业资格，成立三年以上，近三年内无不良记录</w:t>
      </w:r>
      <w:r>
        <w:rPr>
          <w:rFonts w:hint="eastAsia" w:ascii="宋体" w:hAnsi="宋体" w:eastAsia="宋体" w:cs="Times New Roman"/>
          <w:sz w:val="32"/>
          <w:szCs w:val="32"/>
        </w:rPr>
        <w:t>。</w:t>
      </w:r>
    </w:p>
    <w:p>
      <w:pPr>
        <w:topLinePunct/>
        <w:autoSpaceDE w:val="0"/>
        <w:adjustRightInd w:val="0"/>
        <w:snapToGrid w:val="0"/>
        <w:spacing w:line="560" w:lineRule="exact"/>
        <w:ind w:firstLine="600" w:firstLineChars="200"/>
        <w:rPr>
          <w:rFonts w:hint="eastAsia" w:ascii="Calibri" w:hAnsi="Calibri" w:eastAsia="宋体" w:cs="Times New Roman"/>
          <w:sz w:val="32"/>
          <w:szCs w:val="32"/>
        </w:rPr>
      </w:pPr>
      <w:r>
        <w:rPr>
          <w:rFonts w:ascii="Calibri" w:hAnsi="Calibri" w:eastAsia="宋体" w:cs="Calibri"/>
          <w:sz w:val="30"/>
          <w:szCs w:val="30"/>
        </w:rPr>
        <w:t>②</w:t>
      </w:r>
      <w:r>
        <w:rPr>
          <w:rFonts w:hint="eastAsia" w:ascii="仿宋_GB2312" w:hAnsi="Times New Roman" w:eastAsia="仿宋_GB2312" w:cs="Times New Roman"/>
          <w:sz w:val="32"/>
          <w:szCs w:val="32"/>
        </w:rPr>
        <w:t>承担认定工作当年的注册会计师或税务师人数占职工全年月平均人数的比例不低于</w:t>
      </w:r>
      <w:r>
        <w:rPr>
          <w:rFonts w:hint="eastAsia" w:ascii="Times New Roman" w:hAnsi="Times New Roman" w:eastAsia="仿宋_GB2312" w:cs="Times New Roman"/>
          <w:sz w:val="32"/>
          <w:szCs w:val="32"/>
        </w:rPr>
        <w:t>30%</w:t>
      </w:r>
      <w:r>
        <w:rPr>
          <w:rFonts w:hint="eastAsia" w:ascii="宋体" w:hAnsi="宋体" w:eastAsia="宋体" w:cs="Times New Roman"/>
          <w:sz w:val="32"/>
          <w:szCs w:val="32"/>
        </w:rPr>
        <w:t>，</w:t>
      </w:r>
      <w:r>
        <w:rPr>
          <w:rFonts w:hint="eastAsia" w:ascii="仿宋_GB2312" w:hAnsi="Times New Roman" w:eastAsia="仿宋_GB2312" w:cs="Times New Roman"/>
          <w:sz w:val="32"/>
          <w:szCs w:val="32"/>
        </w:rPr>
        <w:t>全年月平均在职职工人数在</w:t>
      </w:r>
      <w:r>
        <w:rPr>
          <w:rFonts w:hint="eastAsia" w:ascii="Times New Roman" w:hAnsi="Times New Roman" w:eastAsia="仿宋_GB2312" w:cs="Times New Roman"/>
          <w:sz w:val="32"/>
          <w:szCs w:val="32"/>
        </w:rPr>
        <w:t>20</w:t>
      </w:r>
      <w:r>
        <w:rPr>
          <w:rFonts w:hint="eastAsia" w:ascii="仿宋_GB2312" w:hAnsi="Times New Roman" w:eastAsia="仿宋_GB2312" w:cs="Times New Roman"/>
          <w:sz w:val="32"/>
          <w:szCs w:val="32"/>
        </w:rPr>
        <w:t>人以上</w:t>
      </w:r>
      <w:r>
        <w:rPr>
          <w:rFonts w:hint="eastAsia" w:ascii="宋体" w:hAnsi="宋体" w:eastAsia="宋体" w:cs="Times New Roman"/>
          <w:sz w:val="32"/>
          <w:szCs w:val="32"/>
        </w:rPr>
        <w:t>。</w:t>
      </w:r>
    </w:p>
    <w:p>
      <w:pPr>
        <w:spacing w:line="560" w:lineRule="exact"/>
        <w:ind w:firstLine="642" w:firstLineChars="200"/>
        <w:jc w:val="left"/>
        <w:outlineLvl w:val="0"/>
        <w:rPr>
          <w:rFonts w:hint="eastAsia" w:ascii="仿宋_GB2312" w:hAnsi="Calibri" w:eastAsia="仿宋_GB2312" w:cs="Times New Roman"/>
          <w:b/>
          <w:bCs/>
          <w:sz w:val="32"/>
          <w:szCs w:val="32"/>
        </w:rPr>
      </w:pPr>
      <w:r>
        <w:rPr>
          <w:rFonts w:ascii="Calibri Light" w:hAnsi="Calibri Light" w:eastAsia="宋体" w:cs="Calibri Light"/>
          <w:b/>
          <w:bCs/>
          <w:sz w:val="32"/>
          <w:szCs w:val="32"/>
        </w:rPr>
        <w:t>③</w:t>
      </w:r>
      <w:r>
        <w:rPr>
          <w:rFonts w:hint="eastAsia" w:ascii="仿宋_GB2312" w:hAnsi="Calibri" w:eastAsia="仿宋_GB2312" w:cs="Times New Roman"/>
          <w:sz w:val="32"/>
          <w:szCs w:val="32"/>
        </w:rPr>
        <w:t>中介机构负有诚信及合规义务，在审核过程发现中介机构存在为被审计企业编造或伪造事由，出具虚假或不实的审计报告等违法违规情形的，我局将把问题线索移送相关监管部门依法处理。</w:t>
      </w:r>
    </w:p>
    <w:p>
      <w:pPr>
        <w:spacing w:line="560" w:lineRule="exact"/>
        <w:ind w:firstLine="642" w:firstLineChars="200"/>
        <w:rPr>
          <w:rFonts w:hint="eastAsia" w:ascii="Calibri" w:hAnsi="Calibri" w:eastAsia="宋体" w:cs="Times New Roman"/>
          <w:szCs w:val="21"/>
        </w:rPr>
      </w:pPr>
      <w:r>
        <w:rPr>
          <w:rFonts w:hint="eastAsia" w:ascii="仿宋_GB2312" w:hAnsi="Calibri" w:eastAsia="仿宋_GB2312" w:cs="Times New Roman"/>
          <w:b/>
          <w:bCs/>
          <w:kern w:val="0"/>
          <w:sz w:val="32"/>
          <w:szCs w:val="32"/>
        </w:rPr>
        <w:t>（2）研发费用内容。</w:t>
      </w:r>
      <w:r>
        <w:rPr>
          <w:rFonts w:hint="eastAsia" w:ascii="仿宋_GB2312" w:hAnsi="Times New Roman" w:eastAsia="仿宋_GB2312" w:cs="Times New Roman"/>
          <w:sz w:val="32"/>
          <w:szCs w:val="32"/>
        </w:rPr>
        <w:t>经具有上述资质的中介机构鉴证的企业财务审计报告中列示研发费用的，提供相应会计年（</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年和</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年）的财务审计报告；未列示研发费用的，需提供经具有上述资质的中介机构出具的研发费用专项审计报告，包括以下几类：研发费用加计扣除专项审计报告、国高新认定研发费用专项审计报告、或依照《高新技术企业认定管理工作指引》（国科发火〔</w:t>
      </w:r>
      <w:r>
        <w:rPr>
          <w:rFonts w:hint="eastAsia" w:ascii="Times New Roman" w:hAnsi="Times New Roman" w:eastAsia="仿宋_GB2312" w:cs="Times New Roman"/>
          <w:sz w:val="32"/>
          <w:szCs w:val="32"/>
        </w:rPr>
        <w:t>2016</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195</w:t>
      </w:r>
      <w:r>
        <w:rPr>
          <w:rFonts w:hint="eastAsia" w:ascii="仿宋_GB2312" w:hAnsi="Times New Roman" w:eastAsia="仿宋_GB2312" w:cs="Times New Roman"/>
          <w:sz w:val="32"/>
          <w:szCs w:val="32"/>
        </w:rPr>
        <w:t>号）中研发费用有关要求制定的专项审计报告；财务审计报告中已列示研发费用，但另提供上述研发费用专项审计报告的，可优先采用专项审计报告。</w:t>
      </w:r>
    </w:p>
    <w:p>
      <w:pPr>
        <w:pStyle w:val="4"/>
        <w:spacing w:before="0" w:after="0" w:line="560" w:lineRule="exact"/>
        <w:ind w:firstLine="321" w:firstLineChars="100"/>
        <w:rPr>
          <w:rFonts w:ascii="Calibri" w:hAnsi="Calibri" w:eastAsia="宋体" w:cs="Times New Roman"/>
          <w:kern w:val="2"/>
          <w:sz w:val="21"/>
          <w:szCs w:val="21"/>
        </w:rPr>
      </w:pPr>
      <w:r>
        <w:rPr>
          <w:rFonts w:hint="eastAsia" w:ascii="黑体" w:hAnsi="黑体"/>
          <w:shd w:val="clear" w:color="auto" w:fill="FFFFFF"/>
        </w:rPr>
        <w:t>二、评价及认定标准</w:t>
      </w:r>
    </w:p>
    <w:p>
      <w:pPr>
        <w:wordWrap w:val="0"/>
        <w:topLinePunct/>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应在北京市工商注册登记、具有独立法人资格；</w:t>
      </w:r>
    </w:p>
    <w:p>
      <w:pPr>
        <w:wordWrap w:val="0"/>
        <w:topLinePunct/>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符合《中小企业划型标准规定》（工信部联企业〔</w:t>
      </w:r>
      <w:r>
        <w:rPr>
          <w:rFonts w:ascii="仿宋_GB2312" w:hAnsi="仿宋_GB2312" w:eastAsia="仿宋_GB2312" w:cs="仿宋_GB2312"/>
          <w:color w:val="000000"/>
          <w:kern w:val="0"/>
          <w:sz w:val="32"/>
          <w:szCs w:val="32"/>
        </w:rPr>
        <w:t>2011〕300号）</w:t>
      </w:r>
      <w:r>
        <w:rPr>
          <w:rFonts w:hint="eastAsia" w:ascii="仿宋_GB2312" w:hAnsi="仿宋_GB2312" w:eastAsia="仿宋_GB2312" w:cs="仿宋_GB2312"/>
          <w:color w:val="000000"/>
          <w:kern w:val="0"/>
          <w:sz w:val="32"/>
          <w:szCs w:val="32"/>
        </w:rPr>
        <w:t>；</w:t>
      </w:r>
    </w:p>
    <w:p>
      <w:pPr>
        <w:wordWrap w:val="0"/>
        <w:topLinePunct/>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企业未被列入经营异常名录或严重失信主体名单，提供的产品（服务）不属于国家和北京市禁止、限制或淘汰类，同时近三年未发生重大安全（含网络安全、数据安全）、质量、环境污染等事故以及偷漏税等违法违规行为；</w:t>
      </w:r>
    </w:p>
    <w:p>
      <w:pPr>
        <w:wordWrap w:val="0"/>
        <w:topLinePunct/>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满足专精特新中小企业评价认定标准。（详见附件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w:t>
      </w:r>
    </w:p>
    <w:p>
      <w:pPr>
        <w:keepNext/>
        <w:keepLines/>
        <w:adjustRightInd w:val="0"/>
        <w:snapToGrid w:val="0"/>
        <w:spacing w:line="560" w:lineRule="exact"/>
        <w:ind w:firstLine="640" w:firstLineChars="200"/>
        <w:outlineLvl w:val="0"/>
        <w:rPr>
          <w:rFonts w:ascii="黑体" w:hAnsi="黑体" w:eastAsia="黑体" w:cs="Times New Roman"/>
          <w:kern w:val="44"/>
          <w:sz w:val="32"/>
          <w:szCs w:val="32"/>
          <w:shd w:val="clear" w:color="auto" w:fill="FFFFFF"/>
        </w:rPr>
      </w:pPr>
      <w:r>
        <w:rPr>
          <w:rFonts w:hint="eastAsia" w:ascii="黑体" w:hAnsi="黑体" w:eastAsia="黑体" w:cs="Times New Roman"/>
          <w:kern w:val="44"/>
          <w:sz w:val="32"/>
          <w:szCs w:val="32"/>
          <w:shd w:val="clear" w:color="auto" w:fill="FFFFFF"/>
        </w:rPr>
        <w:t xml:space="preserve">三、证书、牌匾申领    </w:t>
      </w:r>
    </w:p>
    <w:p>
      <w:pPr>
        <w:wordWrap w:val="0"/>
        <w:topLinePunct/>
        <w:spacing w:line="56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经认定的北京市专精特新中小企业，不再颁发实体证书和牌匾，可于2023年4月1日后，登录“北京通企服版App-首页-梯度培育企业电子证书申领入口”或通过PC端访问“北京市中小企业公共服务平台（www.smebj.cn)-首页-梯度培育企业电子证书申领入口”，申领电子证书和牌匾。</w:t>
      </w:r>
    </w:p>
    <w:p>
      <w:pPr>
        <w:keepNext/>
        <w:keepLines/>
        <w:adjustRightInd w:val="0"/>
        <w:snapToGrid w:val="0"/>
        <w:spacing w:line="560" w:lineRule="exact"/>
        <w:outlineLvl w:val="0"/>
        <w:rPr>
          <w:rFonts w:ascii="黑体" w:hAnsi="黑体" w:eastAsia="黑体" w:cs="Times New Roman"/>
          <w:kern w:val="44"/>
          <w:sz w:val="32"/>
          <w:szCs w:val="32"/>
          <w:shd w:val="clear" w:color="auto" w:fill="FFFFFF"/>
        </w:rPr>
      </w:pPr>
      <w:r>
        <w:rPr>
          <w:rFonts w:hint="eastAsia" w:ascii="黑体" w:hAnsi="黑体" w:eastAsia="黑体" w:cs="Times New Roman"/>
          <w:kern w:val="44"/>
          <w:sz w:val="32"/>
          <w:szCs w:val="32"/>
          <w:shd w:val="clear" w:color="auto" w:fill="FFFFFF"/>
        </w:rPr>
        <w:t xml:space="preserve"> </w:t>
      </w:r>
      <w:r>
        <w:rPr>
          <w:rFonts w:hint="eastAsia" w:ascii="黑体" w:hAnsi="黑体" w:eastAsia="黑体" w:cs="Times New Roman"/>
          <w:kern w:val="44"/>
          <w:sz w:val="32"/>
          <w:szCs w:val="32"/>
          <w:shd w:val="clear" w:color="auto" w:fill="FFFFFF"/>
          <w:lang w:val="en-US" w:eastAsia="zh-CN"/>
        </w:rPr>
        <w:t xml:space="preserve">  </w:t>
      </w:r>
      <w:r>
        <w:rPr>
          <w:rFonts w:hint="eastAsia" w:ascii="黑体" w:hAnsi="黑体" w:eastAsia="黑体" w:cs="Times New Roman"/>
          <w:kern w:val="44"/>
          <w:sz w:val="32"/>
          <w:szCs w:val="32"/>
          <w:shd w:val="clear" w:color="auto" w:fill="FFFFFF"/>
        </w:rPr>
        <w:t xml:space="preserve"> 四、动态监测</w:t>
      </w:r>
    </w:p>
    <w:p>
      <w:pPr>
        <w:spacing w:after="120" w:line="560" w:lineRule="exact"/>
        <w:ind w:firstLine="640" w:firstLineChars="200"/>
        <w:jc w:val="left"/>
        <w:rPr>
          <w:rFonts w:hint="eastAsia" w:ascii="仿宋_GB2312" w:hAnsi="Times New Roman" w:eastAsia="仿宋_GB2312"/>
          <w:kern w:val="0"/>
          <w:sz w:val="32"/>
          <w:szCs w:val="32"/>
        </w:rPr>
      </w:pPr>
      <w:r>
        <w:rPr>
          <w:rFonts w:hint="eastAsia" w:ascii="仿宋_GB2312" w:eastAsia="仿宋_GB2312"/>
          <w:bCs/>
          <w:sz w:val="32"/>
          <w:szCs w:val="32"/>
          <w:shd w:val="clear" w:color="auto" w:fill="FFFFFF"/>
        </w:rPr>
        <w:t>经认定</w:t>
      </w:r>
      <w:r>
        <w:rPr>
          <w:rFonts w:hint="eastAsia" w:ascii="仿宋_GB2312" w:eastAsia="仿宋_GB2312"/>
          <w:bCs/>
          <w:sz w:val="32"/>
          <w:szCs w:val="32"/>
        </w:rPr>
        <w:t>的北京市专精特新中小企业</w:t>
      </w:r>
      <w:r>
        <w:rPr>
          <w:rFonts w:hint="eastAsia" w:ascii="仿宋_GB2312" w:eastAsia="仿宋_GB2312"/>
          <w:bCs/>
          <w:sz w:val="32"/>
          <w:szCs w:val="32"/>
          <w:shd w:val="clear" w:color="auto" w:fill="FFFFFF"/>
        </w:rPr>
        <w:t>有效期3年，到期后进行复核。市经济和信息化局对有效期内的北京市专精特新中小企业开展动态监测和管理</w:t>
      </w:r>
      <w:r>
        <w:rPr>
          <w:rFonts w:hint="eastAsia" w:ascii="仿宋_GB2312" w:hAnsi="Times New Roman" w:eastAsia="仿宋_GB2312" w:cs="Times New Roman"/>
          <w:kern w:val="0"/>
          <w:sz w:val="32"/>
          <w:szCs w:val="32"/>
          <w:shd w:val="clear" w:color="auto" w:fill="FFFFFF"/>
        </w:rPr>
        <w:t>，如发生重大安全（含网络安全、数据安全）、质量、环境污染等事故，或严重失信、偷漏税等违法违规行为，或被发现存</w:t>
      </w:r>
      <w:r>
        <w:rPr>
          <w:rFonts w:hint="eastAsia" w:ascii="仿宋_GB2312" w:hAnsi="Times New Roman" w:eastAsia="仿宋_GB2312" w:cs="Times New Roman"/>
          <w:bCs/>
          <w:sz w:val="32"/>
          <w:szCs w:val="32"/>
          <w:shd w:val="clear" w:color="auto" w:fill="FFFFFF"/>
        </w:rPr>
        <w:t>在数据造假等情形，直接取消认定，且至少三年内不得再次申报</w:t>
      </w:r>
      <w:r>
        <w:rPr>
          <w:rFonts w:hint="eastAsia" w:ascii="仿宋_GB2312" w:eastAsia="仿宋_GB2312"/>
          <w:bCs/>
          <w:sz w:val="32"/>
          <w:szCs w:val="32"/>
          <w:shd w:val="clear" w:color="auto" w:fill="FFFFFF"/>
        </w:rPr>
        <w:t>。</w:t>
      </w:r>
    </w:p>
    <w:p>
      <w:pPr>
        <w:pStyle w:val="2"/>
        <w:wordWrap w:val="0"/>
        <w:spacing w:after="0" w:line="560" w:lineRule="exact"/>
        <w:ind w:firstLine="420" w:firstLineChars="200"/>
      </w:pPr>
    </w:p>
    <w:p>
      <w:pPr>
        <w:pStyle w:val="2"/>
        <w:wordWrap w:val="0"/>
        <w:spacing w:after="0"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咨询电话：</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69624008</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企业服务中心</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p>
    <w:p>
      <w:pPr>
        <w:spacing w:line="560" w:lineRule="exact"/>
        <w:ind w:firstLine="640"/>
        <w:jc w:val="left"/>
        <w:rPr>
          <w:rFonts w:ascii="仿宋_GB2312" w:hAnsi="仿宋_GB2312" w:eastAsia="仿宋_GB2312" w:cs="仿宋_GB2312"/>
          <w:b/>
          <w:color w:val="000000"/>
          <w:kern w:val="0"/>
          <w:sz w:val="32"/>
          <w:szCs w:val="32"/>
        </w:rPr>
      </w:pPr>
    </w:p>
    <w:p>
      <w:pPr>
        <w:spacing w:line="560" w:lineRule="exact"/>
        <w:ind w:firstLine="640"/>
        <w:jc w:val="left"/>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.北京市专精特新中小企业认定标准</w:t>
      </w:r>
    </w:p>
    <w:p>
      <w:pPr>
        <w:pStyle w:val="2"/>
      </w:pPr>
      <w:r>
        <w:rPr>
          <w:rFonts w:hint="eastAsia"/>
        </w:rPr>
        <w:t xml:space="preserve"> </w:t>
      </w:r>
      <w:r>
        <w:t xml:space="preserve">              </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北京市专精特新中</w:t>
      </w:r>
      <w:bookmarkStart w:id="0" w:name="_GoBack"/>
      <w:bookmarkEnd w:id="0"/>
      <w:r>
        <w:rPr>
          <w:rFonts w:hint="eastAsia" w:ascii="仿宋_GB2312" w:hAnsi="仿宋_GB2312" w:eastAsia="仿宋_GB2312" w:cs="仿宋_GB2312"/>
          <w:color w:val="000000"/>
          <w:kern w:val="0"/>
          <w:sz w:val="32"/>
          <w:szCs w:val="32"/>
        </w:rPr>
        <w:t>小企业申报资料清单</w:t>
      </w:r>
    </w:p>
    <w:p>
      <w:pPr>
        <w:pStyle w:val="12"/>
        <w:shd w:val="clear" w:color="auto" w:fill="FFFFFF"/>
        <w:spacing w:before="0" w:beforeAutospacing="0" w:after="0" w:afterAutospacing="0" w:line="21" w:lineRule="atLeast"/>
        <w:jc w:val="right"/>
        <w:rPr>
          <w:rFonts w:ascii="仿宋_GB2312" w:hAnsi="仿宋_GB2312" w:eastAsia="仿宋_GB2312" w:cs="仿宋_GB2312"/>
          <w:color w:val="333333"/>
          <w:sz w:val="32"/>
          <w:szCs w:val="32"/>
          <w:shd w:val="clear" w:color="auto" w:fill="FFFFFF"/>
        </w:rPr>
      </w:pPr>
    </w:p>
    <w:p>
      <w:pPr>
        <w:pStyle w:val="12"/>
        <w:shd w:val="clear" w:color="auto" w:fill="FFFFFF"/>
        <w:spacing w:before="0" w:beforeAutospacing="0" w:after="0" w:afterAutospacing="0" w:line="560" w:lineRule="exact"/>
        <w:jc w:val="center"/>
        <w:rPr>
          <w:rFonts w:ascii="仿宋_GB2312" w:hAnsi="仿宋_GB2312" w:eastAsia="仿宋_GB2312" w:cs="仿宋_GB2312"/>
          <w:bCs/>
          <w:kern w:val="2"/>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kern w:val="0"/>
          <w:sz w:val="32"/>
          <w:szCs w:val="32"/>
          <w:lang w:eastAsia="zh-CN"/>
        </w:rPr>
        <w:t>怀柔</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eastAsia="zh-CN"/>
        </w:rPr>
        <w:t>经济和信息化局</w:t>
      </w:r>
      <w:r>
        <w:rPr>
          <w:rFonts w:hint="eastAsia" w:ascii="仿宋_GB2312" w:hAnsi="仿宋_GB2312" w:eastAsia="仿宋_GB2312" w:cs="仿宋_GB2312"/>
          <w:bCs/>
          <w:kern w:val="2"/>
          <w:sz w:val="32"/>
          <w:szCs w:val="32"/>
          <w:shd w:val="clear" w:color="auto" w:fill="FFFFFF"/>
        </w:rPr>
        <w:t xml:space="preserve"> </w:t>
      </w:r>
      <w:r>
        <w:rPr>
          <w:rFonts w:ascii="仿宋_GB2312" w:hAnsi="仿宋_GB2312" w:eastAsia="仿宋_GB2312" w:cs="仿宋_GB2312"/>
          <w:bCs/>
          <w:kern w:val="2"/>
          <w:sz w:val="32"/>
          <w:szCs w:val="32"/>
          <w:shd w:val="clear" w:color="auto" w:fill="FFFFFF"/>
        </w:rPr>
        <w:t xml:space="preserve">   </w:t>
      </w:r>
    </w:p>
    <w:p>
      <w:pPr>
        <w:pStyle w:val="12"/>
        <w:shd w:val="clear" w:color="auto" w:fill="FFFFFF"/>
        <w:spacing w:before="0" w:beforeAutospacing="0" w:after="0" w:afterAutospacing="0" w:line="560" w:lineRule="exact"/>
        <w:jc w:val="center"/>
        <w:rPr>
          <w:rFonts w:ascii="仿宋_GB2312" w:hAnsi="仿宋_GB2312" w:eastAsia="仿宋_GB2312" w:cs="仿宋_GB2312"/>
          <w:bCs/>
          <w:kern w:val="2"/>
          <w:sz w:val="32"/>
          <w:szCs w:val="32"/>
          <w:shd w:val="clear" w:color="auto" w:fill="FFFFFF"/>
          <w:lang w:val="en-US"/>
        </w:rPr>
      </w:pPr>
      <w:r>
        <w:rPr>
          <w:rFonts w:hint="eastAsia" w:ascii="仿宋_GB2312" w:hAnsi="仿宋_GB2312" w:eastAsia="仿宋_GB2312" w:cs="仿宋_GB2312"/>
          <w:bCs/>
          <w:kern w:val="2"/>
          <w:sz w:val="32"/>
          <w:szCs w:val="32"/>
          <w:shd w:val="clear" w:color="auto" w:fill="FFFFFF"/>
          <w:lang w:val="en-US" w:eastAsia="zh-CN"/>
        </w:rPr>
        <w:t xml:space="preserve">                     2023年1月31日</w:t>
      </w:r>
      <w:r>
        <w:rPr>
          <w:rFonts w:ascii="仿宋_GB2312" w:hAnsi="仿宋_GB2312" w:eastAsia="仿宋_GB2312" w:cs="仿宋_GB2312"/>
          <w:bCs/>
          <w:kern w:val="2"/>
          <w:sz w:val="32"/>
          <w:szCs w:val="32"/>
          <w:shd w:val="clear" w:color="auto" w:fill="FFFFFF"/>
        </w:rPr>
        <w:t xml:space="preserve">                               </w:t>
      </w:r>
      <w:r>
        <w:rPr>
          <w:rFonts w:hint="eastAsia" w:ascii="仿宋_GB2312" w:hAnsi="仿宋_GB2312" w:eastAsia="仿宋_GB2312" w:cs="仿宋_GB2312"/>
          <w:bCs/>
          <w:kern w:val="2"/>
          <w:sz w:val="32"/>
          <w:szCs w:val="32"/>
          <w:shd w:val="clear" w:color="auto" w:fill="FFFFFF"/>
          <w:lang w:val="en-US" w:eastAsia="zh-CN"/>
        </w:rPr>
        <w:t xml:space="preserve">           </w:t>
      </w:r>
    </w:p>
    <w:p>
      <w:pPr>
        <w:pStyle w:val="12"/>
        <w:shd w:val="clear" w:color="auto" w:fill="FFFFFF"/>
        <w:spacing w:before="0" w:beforeAutospacing="0" w:after="0" w:afterAutospacing="0" w:line="21" w:lineRule="atLeast"/>
        <w:jc w:val="center"/>
        <w:rPr>
          <w:rFonts w:ascii="仿宋_GB2312" w:hAnsi="仿宋_GB2312" w:eastAsia="仿宋_GB2312" w:cs="仿宋_GB2312"/>
          <w:color w:val="333333"/>
          <w:sz w:val="32"/>
          <w:szCs w:val="32"/>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Calibri Light">
    <w:altName w:val="Arial"/>
    <w:panose1 w:val="020F0302020204030204"/>
    <w:charset w:val="00"/>
    <w:family w:val="swiss"/>
    <w:pitch w:val="default"/>
    <w:sig w:usb0="00000000" w:usb1="00000000" w:usb2="00000000" w:usb3="00000000" w:csb0="2000019F" w:csb1="00000000"/>
  </w:font>
  <w:font w:name="Verdana">
    <w:panose1 w:val="020B0604030504040204"/>
    <w:charset w:val="00"/>
    <w:family w:val="swiss"/>
    <w:pitch w:val="default"/>
    <w:sig w:usb0="00000287"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方正黑体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9833066"/>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MTE1YzgyMmE5NmYxMGFkMTIxNjRlZjFlZWEyZGMifQ=="/>
  </w:docVars>
  <w:rsids>
    <w:rsidRoot w:val="00AF5BAF"/>
    <w:rsid w:val="00000138"/>
    <w:rsid w:val="00060C2D"/>
    <w:rsid w:val="000F7897"/>
    <w:rsid w:val="001041BE"/>
    <w:rsid w:val="0012111C"/>
    <w:rsid w:val="00140AA1"/>
    <w:rsid w:val="00161D3D"/>
    <w:rsid w:val="001827BD"/>
    <w:rsid w:val="00194726"/>
    <w:rsid w:val="001A17F7"/>
    <w:rsid w:val="00213BFA"/>
    <w:rsid w:val="00297740"/>
    <w:rsid w:val="002C1292"/>
    <w:rsid w:val="002C3511"/>
    <w:rsid w:val="002D033B"/>
    <w:rsid w:val="002E4DB4"/>
    <w:rsid w:val="002F3033"/>
    <w:rsid w:val="0030533B"/>
    <w:rsid w:val="0031707C"/>
    <w:rsid w:val="00321A95"/>
    <w:rsid w:val="00347F96"/>
    <w:rsid w:val="00360EED"/>
    <w:rsid w:val="00364CF0"/>
    <w:rsid w:val="00375710"/>
    <w:rsid w:val="00385399"/>
    <w:rsid w:val="00393C51"/>
    <w:rsid w:val="003C3E7D"/>
    <w:rsid w:val="003F7DE0"/>
    <w:rsid w:val="00405E36"/>
    <w:rsid w:val="00447785"/>
    <w:rsid w:val="004A178F"/>
    <w:rsid w:val="004D43ED"/>
    <w:rsid w:val="004D708C"/>
    <w:rsid w:val="004D775D"/>
    <w:rsid w:val="00516ED1"/>
    <w:rsid w:val="00542554"/>
    <w:rsid w:val="00565454"/>
    <w:rsid w:val="005F7357"/>
    <w:rsid w:val="00607DA3"/>
    <w:rsid w:val="006246FD"/>
    <w:rsid w:val="006431D1"/>
    <w:rsid w:val="00657CBF"/>
    <w:rsid w:val="00663A79"/>
    <w:rsid w:val="006A2E11"/>
    <w:rsid w:val="006C62FE"/>
    <w:rsid w:val="006D04D1"/>
    <w:rsid w:val="006D07BE"/>
    <w:rsid w:val="006E068F"/>
    <w:rsid w:val="006E24EF"/>
    <w:rsid w:val="006E3300"/>
    <w:rsid w:val="007065C6"/>
    <w:rsid w:val="00707EE6"/>
    <w:rsid w:val="00712284"/>
    <w:rsid w:val="00721BFE"/>
    <w:rsid w:val="00721C6C"/>
    <w:rsid w:val="00730381"/>
    <w:rsid w:val="00761CDD"/>
    <w:rsid w:val="007A7365"/>
    <w:rsid w:val="007B29E5"/>
    <w:rsid w:val="007D2EEA"/>
    <w:rsid w:val="00806F1E"/>
    <w:rsid w:val="00853A60"/>
    <w:rsid w:val="00875469"/>
    <w:rsid w:val="0089274E"/>
    <w:rsid w:val="008B4066"/>
    <w:rsid w:val="008C5AD2"/>
    <w:rsid w:val="008D1BF4"/>
    <w:rsid w:val="008F66D5"/>
    <w:rsid w:val="00905E7C"/>
    <w:rsid w:val="00984D2A"/>
    <w:rsid w:val="009A2AF4"/>
    <w:rsid w:val="009B740B"/>
    <w:rsid w:val="00A1544C"/>
    <w:rsid w:val="00A92C90"/>
    <w:rsid w:val="00AA2F2F"/>
    <w:rsid w:val="00AD2DE8"/>
    <w:rsid w:val="00AF5BAF"/>
    <w:rsid w:val="00B240A8"/>
    <w:rsid w:val="00B420E8"/>
    <w:rsid w:val="00C4610A"/>
    <w:rsid w:val="00C8754B"/>
    <w:rsid w:val="00D221D5"/>
    <w:rsid w:val="00D33F2B"/>
    <w:rsid w:val="00D5279A"/>
    <w:rsid w:val="00D800C1"/>
    <w:rsid w:val="00D91345"/>
    <w:rsid w:val="00DA2999"/>
    <w:rsid w:val="00DA4361"/>
    <w:rsid w:val="00DB3634"/>
    <w:rsid w:val="00DD11A7"/>
    <w:rsid w:val="00DD4B87"/>
    <w:rsid w:val="00DD7CD3"/>
    <w:rsid w:val="00E81163"/>
    <w:rsid w:val="00EA01AB"/>
    <w:rsid w:val="00EA567D"/>
    <w:rsid w:val="00EB4F32"/>
    <w:rsid w:val="00EC74B0"/>
    <w:rsid w:val="00ED70BB"/>
    <w:rsid w:val="00F0051D"/>
    <w:rsid w:val="00F0123B"/>
    <w:rsid w:val="00F23B3F"/>
    <w:rsid w:val="00F55ABA"/>
    <w:rsid w:val="00F8208E"/>
    <w:rsid w:val="00F84448"/>
    <w:rsid w:val="00FA3FF4"/>
    <w:rsid w:val="00FC2F01"/>
    <w:rsid w:val="00FF0F21"/>
    <w:rsid w:val="00FF138D"/>
    <w:rsid w:val="082C3238"/>
    <w:rsid w:val="098C0AB9"/>
    <w:rsid w:val="114D3928"/>
    <w:rsid w:val="12EF75D8"/>
    <w:rsid w:val="17366778"/>
    <w:rsid w:val="17F413B1"/>
    <w:rsid w:val="18B040A6"/>
    <w:rsid w:val="1A301E84"/>
    <w:rsid w:val="1A3E4A06"/>
    <w:rsid w:val="1B8D410D"/>
    <w:rsid w:val="1BB796A9"/>
    <w:rsid w:val="1DA174E6"/>
    <w:rsid w:val="1FD20BBF"/>
    <w:rsid w:val="200121BA"/>
    <w:rsid w:val="22E73498"/>
    <w:rsid w:val="237939F7"/>
    <w:rsid w:val="2551963B"/>
    <w:rsid w:val="2B833FC7"/>
    <w:rsid w:val="2C1C7741"/>
    <w:rsid w:val="30743B03"/>
    <w:rsid w:val="323610F2"/>
    <w:rsid w:val="35B015BF"/>
    <w:rsid w:val="3B220B81"/>
    <w:rsid w:val="3BFD0FF2"/>
    <w:rsid w:val="3FF62E3B"/>
    <w:rsid w:val="42A51ABD"/>
    <w:rsid w:val="47FE05D7"/>
    <w:rsid w:val="48C97956"/>
    <w:rsid w:val="4E2F6731"/>
    <w:rsid w:val="506A6F66"/>
    <w:rsid w:val="55416EFF"/>
    <w:rsid w:val="58084EFC"/>
    <w:rsid w:val="5966750B"/>
    <w:rsid w:val="598B7D01"/>
    <w:rsid w:val="5A425A0A"/>
    <w:rsid w:val="5B6420C4"/>
    <w:rsid w:val="5F451C22"/>
    <w:rsid w:val="5F8228F6"/>
    <w:rsid w:val="600558C5"/>
    <w:rsid w:val="612F6730"/>
    <w:rsid w:val="62B00B82"/>
    <w:rsid w:val="63270B31"/>
    <w:rsid w:val="638115A5"/>
    <w:rsid w:val="6631762B"/>
    <w:rsid w:val="68017B3B"/>
    <w:rsid w:val="69A00505"/>
    <w:rsid w:val="6A946C96"/>
    <w:rsid w:val="6A9A589E"/>
    <w:rsid w:val="6BFFDFA7"/>
    <w:rsid w:val="6DFFA45B"/>
    <w:rsid w:val="6EB3B5C7"/>
    <w:rsid w:val="6EF532D0"/>
    <w:rsid w:val="71BC1B6B"/>
    <w:rsid w:val="73B54E6D"/>
    <w:rsid w:val="761A0D4D"/>
    <w:rsid w:val="78C00DAC"/>
    <w:rsid w:val="7C1E52DE"/>
    <w:rsid w:val="7EF20AC3"/>
    <w:rsid w:val="7F7FA6BD"/>
    <w:rsid w:val="9DFBDE2C"/>
    <w:rsid w:val="A0DE4FAB"/>
    <w:rsid w:val="BACB832D"/>
    <w:rsid w:val="BFDFE7FA"/>
    <w:rsid w:val="DFE935FB"/>
    <w:rsid w:val="DFFA3BF5"/>
    <w:rsid w:val="EF72CE77"/>
    <w:rsid w:val="F7FBE6B6"/>
    <w:rsid w:val="F97F9FE2"/>
    <w:rsid w:val="FA8BE1A4"/>
    <w:rsid w:val="FFA3CE2A"/>
    <w:rsid w:val="FFCFCD25"/>
    <w:rsid w:val="FFFE8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keepNext/>
      <w:keepLines/>
      <w:adjustRightInd w:val="0"/>
      <w:snapToGrid w:val="0"/>
      <w:spacing w:before="340" w:after="330" w:line="600" w:lineRule="exact"/>
      <w:ind w:firstLine="643" w:firstLineChars="200"/>
      <w:outlineLvl w:val="0"/>
    </w:pPr>
    <w:rPr>
      <w:rFonts w:eastAsia="黑体"/>
      <w:b/>
      <w:bCs/>
      <w:kern w:val="44"/>
      <w:sz w:val="32"/>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7">
    <w:name w:val="Date"/>
    <w:basedOn w:val="1"/>
    <w:next w:val="1"/>
    <w:link w:val="19"/>
    <w:unhideWhenUsed/>
    <w:qFormat/>
    <w:uiPriority w:val="99"/>
    <w:pPr>
      <w:ind w:left="100" w:leftChars="2500"/>
    </w:p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2"/>
    <w:qFormat/>
    <w:uiPriority w:val="0"/>
    <w:pPr>
      <w:snapToGrid w:val="0"/>
      <w:jc w:val="left"/>
    </w:pPr>
    <w:rPr>
      <w:rFonts w:ascii="Times New Roman" w:hAnsi="Times New Roman" w:eastAsia="宋体" w:cs="Times New Roman"/>
      <w:kern w:val="0"/>
      <w:sz w:val="18"/>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footnote reference"/>
    <w:qFormat/>
    <w:uiPriority w:val="0"/>
    <w:rPr>
      <w:rFonts w:ascii="Verdana" w:hAnsi="Verdana" w:eastAsia="宋体" w:cs="Verdana"/>
      <w:kern w:val="0"/>
      <w:sz w:val="20"/>
      <w:szCs w:val="20"/>
      <w:vertAlign w:val="superscript"/>
      <w:lang w:eastAsia="en-US"/>
    </w:rPr>
  </w:style>
  <w:style w:type="character" w:customStyle="1" w:styleId="18">
    <w:name w:val="标题 1 字符"/>
    <w:basedOn w:val="14"/>
    <w:link w:val="4"/>
    <w:qFormat/>
    <w:uiPriority w:val="9"/>
    <w:rPr>
      <w:rFonts w:eastAsia="黑体"/>
      <w:b/>
      <w:bCs/>
      <w:kern w:val="44"/>
      <w:sz w:val="32"/>
      <w:szCs w:val="44"/>
    </w:rPr>
  </w:style>
  <w:style w:type="character" w:customStyle="1" w:styleId="19">
    <w:name w:val="日期 字符"/>
    <w:basedOn w:val="14"/>
    <w:link w:val="7"/>
    <w:semiHidden/>
    <w:qFormat/>
    <w:uiPriority w:val="99"/>
    <w:rPr>
      <w:rFonts w:asciiTheme="minorHAnsi" w:hAnsiTheme="minorHAnsi" w:eastAsiaTheme="minorEastAsia" w:cstheme="minorBidi"/>
      <w:kern w:val="2"/>
      <w:sz w:val="21"/>
      <w:szCs w:val="22"/>
    </w:rPr>
  </w:style>
  <w:style w:type="character" w:customStyle="1" w:styleId="20">
    <w:name w:val="页眉 字符"/>
    <w:basedOn w:val="14"/>
    <w:link w:val="10"/>
    <w:qFormat/>
    <w:uiPriority w:val="99"/>
    <w:rPr>
      <w:rFonts w:asciiTheme="minorHAnsi" w:hAnsiTheme="minorHAnsi" w:eastAsiaTheme="minorEastAsia" w:cstheme="minorBidi"/>
      <w:kern w:val="2"/>
      <w:sz w:val="18"/>
      <w:szCs w:val="18"/>
    </w:rPr>
  </w:style>
  <w:style w:type="character" w:customStyle="1" w:styleId="21">
    <w:name w:val="页脚 字符"/>
    <w:basedOn w:val="14"/>
    <w:link w:val="9"/>
    <w:qFormat/>
    <w:uiPriority w:val="99"/>
    <w:rPr>
      <w:rFonts w:asciiTheme="minorHAnsi" w:hAnsiTheme="minorHAnsi" w:eastAsiaTheme="minorEastAsia" w:cstheme="minorBidi"/>
      <w:kern w:val="2"/>
      <w:sz w:val="18"/>
      <w:szCs w:val="18"/>
    </w:rPr>
  </w:style>
  <w:style w:type="character" w:customStyle="1" w:styleId="22">
    <w:name w:val="脚注文本 字符"/>
    <w:link w:val="11"/>
    <w:qFormat/>
    <w:uiPriority w:val="0"/>
    <w:rPr>
      <w:sz w:val="18"/>
    </w:rPr>
  </w:style>
  <w:style w:type="character" w:customStyle="1" w:styleId="23">
    <w:name w:val="脚注文本 字符1"/>
    <w:basedOn w:val="14"/>
    <w:semiHidden/>
    <w:qFormat/>
    <w:uiPriority w:val="99"/>
    <w:rPr>
      <w:rFonts w:asciiTheme="minorHAnsi" w:hAnsiTheme="minorHAnsi" w:eastAsiaTheme="minorEastAsia" w:cstheme="minorBidi"/>
      <w:kern w:val="2"/>
      <w:sz w:val="18"/>
      <w:szCs w:val="18"/>
    </w:rPr>
  </w:style>
  <w:style w:type="character" w:customStyle="1" w:styleId="24">
    <w:name w:val="批注框文本 字符"/>
    <w:basedOn w:val="14"/>
    <w:link w:val="8"/>
    <w:semiHidden/>
    <w:qFormat/>
    <w:uiPriority w:val="99"/>
    <w:rPr>
      <w:rFonts w:asciiTheme="minorHAnsi" w:hAnsiTheme="minorHAnsi" w:eastAsiaTheme="minorEastAsia" w:cstheme="minorBidi"/>
      <w:kern w:val="2"/>
      <w:sz w:val="18"/>
      <w:szCs w:val="18"/>
    </w:rPr>
  </w:style>
  <w:style w:type="character" w:customStyle="1" w:styleId="25">
    <w:name w:val="15"/>
    <w:basedOn w:val="14"/>
    <w:qFormat/>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273</Words>
  <Characters>1559</Characters>
  <Lines>12</Lines>
  <Paragraphs>3</Paragraphs>
  <TotalTime>2</TotalTime>
  <ScaleCrop>false</ScaleCrop>
  <LinksUpToDate>false</LinksUpToDate>
  <CharactersWithSpaces>1829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2021-12-26T11:40:00Z</dcterms:created>
  <dc:creator>赵冬岩</dc:creator>
  <cp:lastModifiedBy>user</cp:lastModifiedBy>
  <cp:lastPrinted>2021-04-01T07:33:00Z</cp:lastPrinted>
  <dcterms:modified xsi:type="dcterms:W3CDTF">2023-02-02T11:12:16Z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6338D9B58FD64D57A58C4CECDEEE3D83</vt:lpwstr>
  </property>
</Properties>
</file>