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s="宋体"/>
          <w:b/>
          <w:bCs/>
          <w:kern w:val="0"/>
          <w:sz w:val="40"/>
          <w:szCs w:val="40"/>
        </w:rPr>
      </w:pPr>
      <w:r>
        <w:rPr>
          <w:rFonts w:hint="eastAsia" w:ascii="黑体" w:hAnsi="黑体" w:eastAsia="黑体" w:cs="宋体"/>
          <w:color w:val="000000"/>
          <w:kern w:val="0"/>
          <w:sz w:val="32"/>
          <w:szCs w:val="32"/>
        </w:rPr>
        <w:t>附件</w:t>
      </w:r>
    </w:p>
    <w:p>
      <w:pPr>
        <w:widowControl/>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《北京市住房租赁条例》行政处罚裁量基准</w:t>
      </w:r>
    </w:p>
    <w:p>
      <w:pPr>
        <w:widowControl/>
        <w:jc w:val="center"/>
        <w:rPr>
          <w:rFonts w:hint="eastAsia" w:ascii="方正小标宋简体" w:hAnsi="宋体" w:eastAsia="方正小标宋简体" w:cs="宋体"/>
          <w:bCs/>
          <w:kern w:val="0"/>
          <w:sz w:val="44"/>
          <w:szCs w:val="44"/>
        </w:rPr>
      </w:pPr>
    </w:p>
    <w:tbl>
      <w:tblPr>
        <w:tblStyle w:val="13"/>
        <w:tblW w:w="157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080"/>
        <w:gridCol w:w="1500"/>
        <w:gridCol w:w="1290"/>
        <w:gridCol w:w="1393"/>
        <w:gridCol w:w="1425"/>
        <w:gridCol w:w="2447"/>
        <w:gridCol w:w="3253"/>
        <w:gridCol w:w="885"/>
        <w:gridCol w:w="87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 认定依据</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对出租存在建筑安全隐患住房的行为进行处罚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《北京市住房租赁条例》第十三条第一款第（一）项</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C1672500A060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改正前停止出租，对个人处四万元以上五万元以下罚款，对单位处四十万元以上五十万元以下罚款，对从事租房租赁业务的企业、房地产经纪机构可以责令停业整顿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C1672100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对从事住房租赁业务的企业集中出租住房不符合治安管理规定，造成严重后果的行为进行处罚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《北京市住房租赁条例》第二十三条第一款</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《北京市住房租赁条例》第六十四条第一款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C1672100A000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造成严重后果的，由公安机关处三十万元以上五十万元以下罚款</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对住房租赁企业、房地产经纪机构未按规定备案的行为进行处罚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《北京市住房租赁条例》第二十七条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《北京市住房租赁条例》第六十七条第(一）项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在规定期限内改正，未实际开展经营业务的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在规定期限内改正，已开展经营业务的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C1671200B040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对住房租赁企业自有资金、专业人员和管理能力与经营规模不匹配或内部管理制度不健全、不落实的行为进行处罚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《北京市住房租赁条例》第二十九条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《北京市住房租赁条例》第六十七条第(二）项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C1671600B040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对住房租赁企业、房地产经纪机构未遵守相关公示要求的行为进行处罚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《北京市住房租赁条例》第三十条第二款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《北京市住房租赁条例》第四十一条第二款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公示内容缺少1-3项，且在规定期限内改正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可处一万元以上一万五千元以下罚款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公示内容缺少3项以上，且在规定期限内改正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可处一万五千元以上二万元以下罚款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C1671700B050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对住房租赁企业、房地产经纪机构未按规定实名从业的行为进行处罚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《北京市住房租赁条例》第三十一条第一款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《北京市住房租赁条例》第四十二条第一款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可处一万元以上一万五千元以下罚款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可处一万五千元以上二万元以下罚款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C1672200B050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对住房租赁企业、房地产经纪机构未按规定编制房屋状况说明书，或者未向意向承租人书面告知的行为进行处罚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《北京市住房租赁条例》第三十四条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《北京市住房租赁条例》第四十五条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《北京市住房租赁条例》第六十七条第(五）项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可处一万元以上一万五千元以下罚款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在规定期限内改正的，违法情节严重的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可处一万五千元以上二万元以下罚款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C1671000B050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对住房租赁合同期满，出租人和承租人续订或者重新签订住房租赁合同，房地产经纪机构违反规定再次收取佣金的行为进行处罚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《北京市住房租赁条例》第四十六条第二款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《北京市住房租赁条例》第六十七条第(六）项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在规定期限内改正，违法情节轻微或征得客户谅解的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可处二万元罚款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C1671500B060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对住房租赁企业对租赁住房进行装修装饰后，经具备资质的检测机构检测，室内空气质量不符合室内空气质量标准的行为进行处罚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《北京市住房租赁条例》第三十二条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在规定期限内改正，违法情节轻微或征得客户谅解的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可处一万元以上三万元以下罚款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可处三万元以上五万元以下罚款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处五万元以上十万元以下罚款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C1671900A060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处二十万元以上三十万元以下罚款，可以责令停业整顿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对住房租赁企业将违法建设或者其他依法不得出租的房屋出租的行为进行处罚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《北京市住房租赁条例》第十三条第二款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《北京市住房租赁条例》第六十九条第一款第一项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C1671400A060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对住房租赁企业、房地产经纪机构发布房源信息、推荐房源不符合相关规定的行为进行处罚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《北京市住房租赁条例》第三十三条</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《北京市住房租赁条例》第四十四条第二款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《北京市住房租赁条例》第六十九条第一款第二项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C1671300B060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对住房租赁企业、以自有住房从事住房租赁业务的企业、房地产经纪机构未按规定提交登记备案的行为进行处罚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《北京市住房租赁条例》第三十五条</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《北京市住房租赁条例》第四十七条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C1671100B060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对住房租赁企业未按规定履行押金托管、租金监管，或者未按期退还剩余押金、租金的行为进行处罚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《北京市住房租赁条例》第三十六条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《北京市住房租赁条例》第六十九条第一款第四项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违法行为轻微，没有造成危害后果的：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未按期退还剩余押金、租金的，在执法机关发现前已改正的；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未按期退还剩余押金、租金的，在执法机关发现后，责改当日内改正，并征得客户谅解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对单位可处一万元罚款，对相关责任人可处五千元罚款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对单位可处一万元以上三万元以下罚款，对相关责任人可处五千元以上七千元以下罚款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对单位可处三万元以上五万元以下罚款，对相关责任人可处七千元以上一万元以下罚款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w:t>
            </w:r>
            <w:bookmarkStart w:id="0" w:name="_GoBack"/>
            <w:bookmarkEnd w:id="0"/>
            <w:r>
              <w:rPr>
                <w:rFonts w:hint="eastAsia" w:ascii="宋体" w:hAnsi="宋体" w:eastAsia="宋体" w:cs="宋体"/>
                <w:i w:val="0"/>
                <w:iCs w:val="0"/>
                <w:color w:val="000000"/>
                <w:kern w:val="0"/>
                <w:sz w:val="20"/>
                <w:szCs w:val="20"/>
                <w:u w:val="none"/>
                <w:lang w:val="en-US" w:eastAsia="zh-CN" w:bidi="ar"/>
              </w:rPr>
              <w:t>，对相关责任人可处一万元以上二万元以下罚款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C1672000A060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对住房租赁企业、以自有住房从事住房租赁业务的企业、房地产经纪机构违反相关禁止规定的行为进行处罚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《北京市住房租赁条例》第三十七条第一款第（一）项、第（二）项</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《北京市住房租赁条例》第四十八条第一款第（一）项至第（三）项</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《北京市住房租赁条例》第六十九条第一款第五项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对单位可处一万元以上二万元以下罚款，对相关责任人可处五千元以上六千元以下罚款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对单位可处二万元以上四万元以下罚款，对相关责任人可处六千元以上八千元以下罚款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对单位可处四万元以上五万元以下罚款，对相关责任人可处八千元以上一万元以下罚款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对单位处五万元以上十万元以下罚款，对相关责任人可处一万元罚款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对单位处十万元以上二十万元以下罚款，对相关责任人可处一万元以上二万元以下罚款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C1670900A060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对单位处二十万元以上三十万元以下罚款，可以责令停业整顿，对相关责任人可处二万元以上三万元以下罚款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对住房租赁企业从业人员、房地产经纪机构经纪人员违反相关禁止规定的行为进行处罚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《北京市住房租赁条例》第三十七条第二款</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《北京市住房租赁条例》第四十八条第二款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《北京市住房租赁条例》第六十九条第二款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对住房租赁企业从业人员、房地产经纪机构经纪人员可处四千元以下罚款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对住房租赁企业从业人员、房地产经纪机构经纪人员可处四千元以上六千元以下罚款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对住房租赁企业从业人员、房地产经纪机构经纪人员可处六千元以上一万元以下罚款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C1671800A040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逾期不改的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责令停止从业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对互联网信息平台未进行核验、登记，或者未按照规定建立、留存登记档案的行为进行处罚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《北京市住房租赁条例》第四十九条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《北京市住房租赁条例》第七十条第（一）项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C1672600A050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对互联网信息平台未按照规定对相关证明材料进行信息审查的行为进行处罚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《北京市住房租赁条例》第七十条第（二）项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C1672700A050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对互联网信息平台未按照规定采取必要措施限制违法发布信息等行为进行处罚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《北京市住房租赁条例》第五十一条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《北京市住房租赁条例》第五十二条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《北京市住房租赁条例》第七十条第（三）项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C1672800A050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对互联网信息平台未按照规定报送发布房源信息相关记录的行为进行处罚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《北京市住房租赁条例》第五十三条第一款</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《北京市住房租赁条例》第七十条第（四）项</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C1672900A050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拒不改正违法行为，或违法情节严重的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处十万元以上五十万元以下罚款，网信部门应当按照住房和城乡建设或者房屋主管部门的意见对其采取暂停相关业务、停业整顿等措施</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对将租赁住房用于销售、变相销售或者用于出租短租住房的行为进行处罚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《北京市住房租赁条例》第五十六条</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《北京市住房租赁条例》第七十二条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《北京市住房租赁条例》第七十一条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责令限期改正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处二十万元以上四十万元以下罚款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处四十万元以上五十万元以下罚款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处五十万元以上七十万元以下罚款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处七十万元以上九十万元以下罚款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C1672400A060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处九十万元以上一百万以下罚款，对从事住房租赁业务的企业、房地产经纪机构可以责令停业整顿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 第十三条第一款第（三）项至第（五）项</w:t>
            </w:r>
          </w:p>
        </w:tc>
        <w:tc>
          <w:tcPr>
            <w:tcW w:w="13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《北京市住房租赁条例》第六十三条第三款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C1672300-1</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C1672300T</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C1672300A010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C1672300A020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C1672300A030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C1672300A040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C1672300A050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C1672300A060</w:t>
            </w:r>
          </w:p>
        </w:tc>
        <w:tc>
          <w:tcPr>
            <w:tcW w:w="2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widowControl/>
        <w:jc w:val="center"/>
        <w:rPr>
          <w:rFonts w:hint="eastAsia"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rPr>
        <w:br w:type="textWrapping"/>
      </w:r>
      <w:r>
        <w:rPr>
          <w:rFonts w:hint="eastAsia" w:ascii="方正小标宋简体" w:hAnsi="宋体" w:eastAsia="方正小标宋简体" w:cs="宋体"/>
          <w:bCs/>
          <w:kern w:val="0"/>
          <w:sz w:val="44"/>
          <w:szCs w:val="44"/>
          <w:lang w:val="en-US" w:eastAsia="zh-CN"/>
        </w:rPr>
        <w:t xml:space="preserve"> </w:t>
      </w: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ascii="仿宋_GB2312" w:eastAsia="仿宋_GB2312"/>
          <w:sz w:val="32"/>
          <w:szCs w:val="32"/>
        </w:rPr>
        <w:sectPr>
          <w:headerReference r:id="rId3" w:type="default"/>
          <w:footerReference r:id="rId4" w:type="default"/>
          <w:footerReference r:id="rId5" w:type="even"/>
          <w:pgSz w:w="16838" w:h="11906" w:orient="landscape"/>
          <w:pgMar w:top="567" w:right="567" w:bottom="567" w:left="567" w:header="851" w:footer="851" w:gutter="0"/>
          <w:pgNumType w:fmt="numberInDash"/>
          <w:cols w:space="720" w:num="1"/>
          <w:docGrid w:linePitch="312" w:charSpace="0"/>
        </w:sect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p>
      <w:pPr>
        <w:spacing w:line="480" w:lineRule="exact"/>
        <w:rPr>
          <w:rFonts w:hint="eastAsia" w:ascii="仿宋_GB2312" w:eastAsia="仿宋_GB2312"/>
          <w:sz w:val="32"/>
          <w:szCs w:val="32"/>
        </w:rPr>
      </w:pPr>
    </w:p>
    <w:sectPr>
      <w:pgSz w:w="16838" w:h="11906" w:orient="landscape"/>
      <w:pgMar w:top="567" w:right="567" w:bottom="567" w:left="56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hint="default" w:ascii="Times New Roman" w:hAnsi="Times New Roman" w:cs="Times New Roman"/>
        <w:sz w:val="28"/>
        <w:szCs w:val="28"/>
      </w:rPr>
    </w:pPr>
    <w:r>
      <w:rPr>
        <w:rStyle w:val="16"/>
        <w:rFonts w:hint="default" w:ascii="Times New Roman" w:hAnsi="Times New Roman" w:cs="Times New Roman"/>
        <w:sz w:val="28"/>
        <w:szCs w:val="28"/>
      </w:rPr>
      <w:fldChar w:fldCharType="begin"/>
    </w:r>
    <w:r>
      <w:rPr>
        <w:rStyle w:val="16"/>
        <w:rFonts w:hint="default" w:ascii="Times New Roman" w:hAnsi="Times New Roman" w:cs="Times New Roman"/>
        <w:sz w:val="28"/>
        <w:szCs w:val="28"/>
      </w:rPr>
      <w:instrText xml:space="preserve">PAGE  </w:instrText>
    </w:r>
    <w:r>
      <w:rPr>
        <w:rStyle w:val="16"/>
        <w:rFonts w:hint="default" w:ascii="Times New Roman" w:hAnsi="Times New Roman" w:cs="Times New Roman"/>
        <w:sz w:val="28"/>
        <w:szCs w:val="28"/>
      </w:rPr>
      <w:fldChar w:fldCharType="separate"/>
    </w:r>
    <w:r>
      <w:rPr>
        <w:rStyle w:val="16"/>
        <w:rFonts w:hint="default" w:ascii="Times New Roman" w:hAnsi="Times New Roman" w:cs="Times New Roman"/>
        <w:sz w:val="28"/>
        <w:szCs w:val="28"/>
      </w:rPr>
      <w:t>- 3 -</w:t>
    </w:r>
    <w:r>
      <w:rPr>
        <w:rStyle w:val="16"/>
        <w:rFonts w:hint="default" w:ascii="Times New Roman" w:hAnsi="Times New Roman" w:cs="Times New Roman"/>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sz w:val="28"/>
        <w:szCs w:val="28"/>
      </w:rPr>
    </w:pP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- 16 -</w:t>
    </w:r>
    <w:r>
      <w:rPr>
        <w:rStyle w:val="16"/>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00352EE9"/>
    <w:rsid w:val="000221F0"/>
    <w:rsid w:val="00027416"/>
    <w:rsid w:val="000326E8"/>
    <w:rsid w:val="00053FDE"/>
    <w:rsid w:val="0005499B"/>
    <w:rsid w:val="000638D6"/>
    <w:rsid w:val="000669C5"/>
    <w:rsid w:val="00077581"/>
    <w:rsid w:val="0008118A"/>
    <w:rsid w:val="00090270"/>
    <w:rsid w:val="000919F4"/>
    <w:rsid w:val="00094BA0"/>
    <w:rsid w:val="00097CCB"/>
    <w:rsid w:val="000A2E59"/>
    <w:rsid w:val="000B016E"/>
    <w:rsid w:val="000B19B4"/>
    <w:rsid w:val="000B25D9"/>
    <w:rsid w:val="000D219D"/>
    <w:rsid w:val="000E1BD7"/>
    <w:rsid w:val="000E4C96"/>
    <w:rsid w:val="000E6E12"/>
    <w:rsid w:val="00113559"/>
    <w:rsid w:val="00120D37"/>
    <w:rsid w:val="00122693"/>
    <w:rsid w:val="001328D5"/>
    <w:rsid w:val="00142DC4"/>
    <w:rsid w:val="00145AE6"/>
    <w:rsid w:val="001461C7"/>
    <w:rsid w:val="001711A4"/>
    <w:rsid w:val="00196156"/>
    <w:rsid w:val="001B613F"/>
    <w:rsid w:val="001B7849"/>
    <w:rsid w:val="001C0C9E"/>
    <w:rsid w:val="00204062"/>
    <w:rsid w:val="0021330E"/>
    <w:rsid w:val="00215322"/>
    <w:rsid w:val="002158E4"/>
    <w:rsid w:val="002230A3"/>
    <w:rsid w:val="002252B3"/>
    <w:rsid w:val="00235FFE"/>
    <w:rsid w:val="002542D0"/>
    <w:rsid w:val="002665DF"/>
    <w:rsid w:val="00273C29"/>
    <w:rsid w:val="00286978"/>
    <w:rsid w:val="00294872"/>
    <w:rsid w:val="002A011A"/>
    <w:rsid w:val="002A0860"/>
    <w:rsid w:val="002A4818"/>
    <w:rsid w:val="002B3A56"/>
    <w:rsid w:val="002C095A"/>
    <w:rsid w:val="002D58DE"/>
    <w:rsid w:val="002D7D84"/>
    <w:rsid w:val="002E082D"/>
    <w:rsid w:val="002E619B"/>
    <w:rsid w:val="002F0187"/>
    <w:rsid w:val="00300466"/>
    <w:rsid w:val="00300679"/>
    <w:rsid w:val="00306AF8"/>
    <w:rsid w:val="003229F6"/>
    <w:rsid w:val="00327E54"/>
    <w:rsid w:val="00333AD9"/>
    <w:rsid w:val="0033483C"/>
    <w:rsid w:val="00352EE9"/>
    <w:rsid w:val="00370085"/>
    <w:rsid w:val="0038415A"/>
    <w:rsid w:val="003A3AAD"/>
    <w:rsid w:val="003A44BE"/>
    <w:rsid w:val="003B427E"/>
    <w:rsid w:val="003C2EF7"/>
    <w:rsid w:val="003D5A98"/>
    <w:rsid w:val="003F59D0"/>
    <w:rsid w:val="004047D8"/>
    <w:rsid w:val="004352B3"/>
    <w:rsid w:val="0044117F"/>
    <w:rsid w:val="004734D3"/>
    <w:rsid w:val="00492736"/>
    <w:rsid w:val="004A09E3"/>
    <w:rsid w:val="004A3D47"/>
    <w:rsid w:val="004B3426"/>
    <w:rsid w:val="004C00C9"/>
    <w:rsid w:val="004D3E7E"/>
    <w:rsid w:val="004E3786"/>
    <w:rsid w:val="004E51E4"/>
    <w:rsid w:val="004F13C2"/>
    <w:rsid w:val="004F1EF3"/>
    <w:rsid w:val="00511033"/>
    <w:rsid w:val="00521433"/>
    <w:rsid w:val="0052279F"/>
    <w:rsid w:val="0052470A"/>
    <w:rsid w:val="005300ED"/>
    <w:rsid w:val="00540E6B"/>
    <w:rsid w:val="00566D08"/>
    <w:rsid w:val="005B0D8D"/>
    <w:rsid w:val="005F086B"/>
    <w:rsid w:val="005F312A"/>
    <w:rsid w:val="00605BC5"/>
    <w:rsid w:val="00605BE5"/>
    <w:rsid w:val="00626CCA"/>
    <w:rsid w:val="006309FF"/>
    <w:rsid w:val="00643C87"/>
    <w:rsid w:val="006611AB"/>
    <w:rsid w:val="00665F82"/>
    <w:rsid w:val="00680630"/>
    <w:rsid w:val="00682AA7"/>
    <w:rsid w:val="00687818"/>
    <w:rsid w:val="006A3B11"/>
    <w:rsid w:val="006A566D"/>
    <w:rsid w:val="006B187F"/>
    <w:rsid w:val="006B2F19"/>
    <w:rsid w:val="006E6A81"/>
    <w:rsid w:val="00702173"/>
    <w:rsid w:val="00705580"/>
    <w:rsid w:val="00713DF8"/>
    <w:rsid w:val="00714DB0"/>
    <w:rsid w:val="0071529B"/>
    <w:rsid w:val="007169C9"/>
    <w:rsid w:val="00723BEA"/>
    <w:rsid w:val="00737E32"/>
    <w:rsid w:val="00793109"/>
    <w:rsid w:val="007A6D21"/>
    <w:rsid w:val="007D0CEC"/>
    <w:rsid w:val="007E4CF3"/>
    <w:rsid w:val="00803706"/>
    <w:rsid w:val="008173F3"/>
    <w:rsid w:val="008603CF"/>
    <w:rsid w:val="00866DAC"/>
    <w:rsid w:val="008704EB"/>
    <w:rsid w:val="00881718"/>
    <w:rsid w:val="00886B0B"/>
    <w:rsid w:val="008A0020"/>
    <w:rsid w:val="008A5ED4"/>
    <w:rsid w:val="008C2379"/>
    <w:rsid w:val="008D72CB"/>
    <w:rsid w:val="008F182B"/>
    <w:rsid w:val="008F3C2A"/>
    <w:rsid w:val="00901BD0"/>
    <w:rsid w:val="00906B42"/>
    <w:rsid w:val="009176D6"/>
    <w:rsid w:val="00926F02"/>
    <w:rsid w:val="00950805"/>
    <w:rsid w:val="00974237"/>
    <w:rsid w:val="0097756E"/>
    <w:rsid w:val="00977A61"/>
    <w:rsid w:val="0098594C"/>
    <w:rsid w:val="0098606A"/>
    <w:rsid w:val="009E7C18"/>
    <w:rsid w:val="009F07D5"/>
    <w:rsid w:val="009F4A79"/>
    <w:rsid w:val="009F5522"/>
    <w:rsid w:val="00A02DB5"/>
    <w:rsid w:val="00A03017"/>
    <w:rsid w:val="00A04B44"/>
    <w:rsid w:val="00A0635E"/>
    <w:rsid w:val="00A14CC3"/>
    <w:rsid w:val="00A253F9"/>
    <w:rsid w:val="00A46A46"/>
    <w:rsid w:val="00A46CFD"/>
    <w:rsid w:val="00A57BA3"/>
    <w:rsid w:val="00A64073"/>
    <w:rsid w:val="00A654B9"/>
    <w:rsid w:val="00A657C9"/>
    <w:rsid w:val="00A750AA"/>
    <w:rsid w:val="00A801D0"/>
    <w:rsid w:val="00A8147D"/>
    <w:rsid w:val="00A861F3"/>
    <w:rsid w:val="00AA66C1"/>
    <w:rsid w:val="00AB0E20"/>
    <w:rsid w:val="00AB2E53"/>
    <w:rsid w:val="00AB6152"/>
    <w:rsid w:val="00AD5848"/>
    <w:rsid w:val="00AE3751"/>
    <w:rsid w:val="00AF5CA1"/>
    <w:rsid w:val="00B00998"/>
    <w:rsid w:val="00B1153E"/>
    <w:rsid w:val="00B120FB"/>
    <w:rsid w:val="00B36EC8"/>
    <w:rsid w:val="00B53BFD"/>
    <w:rsid w:val="00B636BB"/>
    <w:rsid w:val="00B63923"/>
    <w:rsid w:val="00B92CDD"/>
    <w:rsid w:val="00BB6BA0"/>
    <w:rsid w:val="00BB745B"/>
    <w:rsid w:val="00BC46C6"/>
    <w:rsid w:val="00BD138F"/>
    <w:rsid w:val="00BD32AA"/>
    <w:rsid w:val="00BD78AF"/>
    <w:rsid w:val="00C136E7"/>
    <w:rsid w:val="00C308B5"/>
    <w:rsid w:val="00C40D34"/>
    <w:rsid w:val="00C4234F"/>
    <w:rsid w:val="00C43AD6"/>
    <w:rsid w:val="00C5518F"/>
    <w:rsid w:val="00C728E5"/>
    <w:rsid w:val="00C777C3"/>
    <w:rsid w:val="00C83542"/>
    <w:rsid w:val="00C9285D"/>
    <w:rsid w:val="00CC5414"/>
    <w:rsid w:val="00CD146D"/>
    <w:rsid w:val="00CD34BF"/>
    <w:rsid w:val="00CE1F76"/>
    <w:rsid w:val="00CF5C82"/>
    <w:rsid w:val="00CF605B"/>
    <w:rsid w:val="00D018AC"/>
    <w:rsid w:val="00D4169E"/>
    <w:rsid w:val="00D57679"/>
    <w:rsid w:val="00D67946"/>
    <w:rsid w:val="00D72083"/>
    <w:rsid w:val="00D72D90"/>
    <w:rsid w:val="00DA4150"/>
    <w:rsid w:val="00DA6730"/>
    <w:rsid w:val="00DB6167"/>
    <w:rsid w:val="00DE5B69"/>
    <w:rsid w:val="00DF2DFC"/>
    <w:rsid w:val="00E01F93"/>
    <w:rsid w:val="00E12356"/>
    <w:rsid w:val="00E159C4"/>
    <w:rsid w:val="00E42651"/>
    <w:rsid w:val="00E508B7"/>
    <w:rsid w:val="00E655A9"/>
    <w:rsid w:val="00E87368"/>
    <w:rsid w:val="00EA5AD0"/>
    <w:rsid w:val="00EB0166"/>
    <w:rsid w:val="00EB4136"/>
    <w:rsid w:val="00ED6DAD"/>
    <w:rsid w:val="00EF0FEA"/>
    <w:rsid w:val="00F078C1"/>
    <w:rsid w:val="00F22B0C"/>
    <w:rsid w:val="00F26454"/>
    <w:rsid w:val="00F30E7C"/>
    <w:rsid w:val="00F43E8A"/>
    <w:rsid w:val="00F51558"/>
    <w:rsid w:val="00F738FB"/>
    <w:rsid w:val="00FE6F25"/>
    <w:rsid w:val="00FF084F"/>
    <w:rsid w:val="00FF2142"/>
    <w:rsid w:val="2FAD3151"/>
    <w:rsid w:val="6FADFA0D"/>
    <w:rsid w:val="716D45BE"/>
    <w:rsid w:val="97BF6955"/>
    <w:rsid w:val="AFBF1B1E"/>
    <w:rsid w:val="B7CF030B"/>
    <w:rsid w:val="E292306F"/>
    <w:rsid w:val="FAB7EC2A"/>
    <w:rsid w:val="FE79817E"/>
    <w:rsid w:val="FFFA44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jc w:val="center"/>
    </w:pPr>
    <w:rPr>
      <w:sz w:val="24"/>
      <w:szCs w:val="20"/>
    </w:rPr>
  </w:style>
  <w:style w:type="paragraph" w:styleId="4">
    <w:name w:val="Body Text Indent"/>
    <w:basedOn w:val="1"/>
    <w:uiPriority w:val="0"/>
    <w:pPr>
      <w:spacing w:after="120"/>
      <w:ind w:left="420" w:leftChars="200"/>
    </w:pPr>
  </w:style>
  <w:style w:type="paragraph" w:styleId="5">
    <w:name w:val="Plain Text"/>
    <w:basedOn w:val="1"/>
    <w:uiPriority w:val="0"/>
    <w:rPr>
      <w:rFonts w:ascii="宋体" w:hAnsi="Courier New"/>
      <w:szCs w:val="20"/>
    </w:rPr>
  </w:style>
  <w:style w:type="paragraph" w:styleId="6">
    <w:name w:val="Date"/>
    <w:basedOn w:val="1"/>
    <w:next w:val="1"/>
    <w:uiPriority w:val="0"/>
  </w:style>
  <w:style w:type="paragraph" w:styleId="7">
    <w:name w:val="Balloon Text"/>
    <w:basedOn w:val="1"/>
    <w:semiHidden/>
    <w:uiPriority w:val="0"/>
    <w:rPr>
      <w:sz w:val="18"/>
      <w:szCs w:val="18"/>
    </w:rPr>
  </w:style>
  <w:style w:type="paragraph" w:styleId="8">
    <w:name w:val="footer"/>
    <w:basedOn w:val="1"/>
    <w:link w:val="17"/>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uiPriority w:val="0"/>
    <w:pPr>
      <w:spacing w:after="120" w:line="480" w:lineRule="auto"/>
    </w:pPr>
  </w:style>
  <w:style w:type="paragraph" w:styleId="12">
    <w:name w:val="Normal (Web)"/>
    <w:basedOn w:val="1"/>
    <w:uiPriority w:val="0"/>
    <w:pPr>
      <w:widowControl/>
      <w:spacing w:before="100" w:beforeAutospacing="1" w:after="100" w:afterAutospacing="1"/>
      <w:jc w:val="left"/>
    </w:pPr>
    <w:rPr>
      <w:rFonts w:ascii="宋体" w:hAnsi="宋体"/>
      <w:kern w:val="0"/>
      <w:sz w:val="24"/>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customStyle="1" w:styleId="17">
    <w:name w:val="页脚 Char"/>
    <w:link w:val="8"/>
    <w:uiPriority w:val="99"/>
    <w:rPr>
      <w:kern w:val="2"/>
      <w:sz w:val="18"/>
      <w:szCs w:val="18"/>
    </w:rPr>
  </w:style>
  <w:style w:type="paragraph" w:customStyle="1" w:styleId="18">
    <w:name w:val="表格内容"/>
    <w:basedOn w:val="1"/>
    <w:uiPriority w:val="0"/>
    <w:pPr>
      <w:suppressLineNumbers/>
      <w:suppressAutoHyphens/>
    </w:pPr>
    <w:rPr>
      <w:szCs w:val="20"/>
    </w:rPr>
  </w:style>
  <w:style w:type="paragraph" w:customStyle="1" w:styleId="19">
    <w:name w:val=" 字元 字元 Char Char"/>
    <w:basedOn w:val="2"/>
    <w:qFormat/>
    <w:uiPriority w:val="0"/>
    <w:pPr>
      <w:adjustRightInd w:val="0"/>
      <w:spacing w:line="436" w:lineRule="exact"/>
      <w:ind w:left="357"/>
      <w:jc w:val="left"/>
      <w:outlineLvl w:val="3"/>
    </w:pPr>
    <w:rPr>
      <w:rFonts w:ascii="Tahoma" w:hAnsi="Tahoma"/>
      <w:b/>
      <w:sz w:val="24"/>
    </w:rPr>
  </w:style>
  <w:style w:type="paragraph" w:customStyle="1" w:styleId="20">
    <w:name w:val="标题1"/>
    <w:basedOn w:val="1"/>
    <w:next w:val="3"/>
    <w:uiPriority w:val="0"/>
    <w:pPr>
      <w:keepNext/>
      <w:keepLines/>
      <w:suppressAutoHyphens/>
      <w:spacing w:before="240" w:after="60"/>
    </w:pPr>
    <w:rPr>
      <w:rFonts w:ascii="Arial" w:hAnsi="Arial" w:cs="Tahoma"/>
      <w:b/>
      <w:bCs/>
      <w:sz w:val="32"/>
      <w:szCs w:val="32"/>
    </w:rPr>
  </w:style>
  <w:style w:type="paragraph" w:customStyle="1" w:styleId="21">
    <w:name w:val="普通文字"/>
    <w:basedOn w:val="1"/>
    <w:uiPriority w:val="0"/>
    <w:rPr>
      <w:rFonts w:hint="eastAsia" w:ascii="宋体" w:hAnsi="宋体" w:eastAsia="仿宋_GB2312"/>
      <w:kern w:val="1"/>
      <w:sz w:val="32"/>
      <w:szCs w:val="20"/>
    </w:rPr>
  </w:style>
  <w:style w:type="paragraph" w:customStyle="1" w:styleId="22">
    <w:name w:val="WW-普通文字"/>
    <w:basedOn w:val="1"/>
    <w:uiPriority w:val="0"/>
    <w:pPr>
      <w:suppressAutoHyphens/>
    </w:pPr>
    <w:rPr>
      <w:rFonts w:hint="eastAsia" w:ascii="宋体" w:hAnsi="宋体" w:cs="Tahoma"/>
      <w:kern w:val="1"/>
      <w:szCs w:val="20"/>
    </w:rPr>
  </w:style>
  <w:style w:type="paragraph" w:customStyle="1" w:styleId="23">
    <w:name w:val=" Char"/>
    <w:basedOn w:val="2"/>
    <w:uiPriority w:val="0"/>
    <w:pPr>
      <w:adjustRightInd w:val="0"/>
      <w:spacing w:line="436" w:lineRule="exact"/>
      <w:ind w:left="357"/>
      <w:jc w:val="left"/>
      <w:outlineLvl w:val="3"/>
    </w:pPr>
    <w:rPr>
      <w:rFonts w:ascii="Tahoma" w:hAnsi="Tahoma"/>
      <w:b/>
      <w:sz w:val="24"/>
    </w:rPr>
  </w:style>
  <w:style w:type="paragraph" w:customStyle="1" w:styleId="24">
    <w:name w:val="Char Char Char Char"/>
    <w:basedOn w:val="1"/>
    <w:uiPriority w:val="0"/>
    <w:pPr>
      <w:adjustRightInd w:val="0"/>
      <w:spacing w:line="360" w:lineRule="auto"/>
    </w:pPr>
    <w:rPr>
      <w:kern w:val="0"/>
      <w:sz w:val="24"/>
      <w:szCs w:val="20"/>
    </w:rPr>
  </w:style>
  <w:style w:type="paragraph" w:customStyle="1" w:styleId="25">
    <w:name w:val="WW-日期1"/>
    <w:basedOn w:val="1"/>
    <w:uiPriority w:val="0"/>
    <w:rPr>
      <w:rFonts w:hint="eastAsia"/>
      <w:spacing w:val="20"/>
      <w:kern w:val="1"/>
      <w:sz w:val="32"/>
      <w:szCs w:val="20"/>
    </w:rPr>
  </w:style>
  <w:style w:type="paragraph" w:styleId="26">
    <w:name w:val="List Paragraph"/>
    <w:basedOn w:val="1"/>
    <w:qFormat/>
    <w:uiPriority w:val="0"/>
    <w:pPr>
      <w:ind w:firstLine="420" w:firstLineChars="200"/>
    </w:pPr>
    <w:rPr>
      <w:rFonts w:ascii="Calibri" w:hAnsi="Calibri"/>
      <w:szCs w:val="20"/>
    </w:rPr>
  </w:style>
  <w:style w:type="paragraph" w:customStyle="1" w:styleId="27">
    <w:name w:val="Char Char Char"/>
    <w:basedOn w:val="2"/>
    <w:uiPriority w:val="0"/>
    <w:pPr>
      <w:adjustRightInd w:val="0"/>
      <w:spacing w:line="436" w:lineRule="exact"/>
      <w:ind w:left="357"/>
      <w:jc w:val="left"/>
      <w:outlineLvl w:val="3"/>
    </w:pPr>
    <w:rPr>
      <w:rFonts w:ascii="Calibri" w:hAnsi="Calibri"/>
      <w:szCs w:val="20"/>
    </w:rPr>
  </w:style>
  <w:style w:type="paragraph" w:styleId="28">
    <w:name w:val="No Spacing"/>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SZAQ</Company>
  <Pages>14</Pages>
  <Words>8392</Words>
  <Characters>10203</Characters>
  <Lines>52</Lines>
  <Paragraphs>14</Paragraphs>
  <TotalTime>106</TotalTime>
  <ScaleCrop>false</ScaleCrop>
  <LinksUpToDate>false</LinksUpToDate>
  <CharactersWithSpaces>10212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2021-11-10T02:09:00Z</dcterms:created>
  <dc:creator>ABD</dc:creator>
  <cp:lastModifiedBy>谢梦琦</cp:lastModifiedBy>
  <cp:lastPrinted>2022-10-22T07:21:00Z</cp:lastPrinted>
  <dcterms:modified xsi:type="dcterms:W3CDTF">2023-03-15T01:56:06Z</dcterms:modified>
  <dc:title>地铁应急抢险大队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B6DCE094CBB941F42A0B5263A8DEA217</vt:lpwstr>
  </property>
</Properties>
</file>