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both"/>
        <w:rPr>
          <w:rFonts w:hint="eastAsia" w:ascii="仿宋_GB2312" w:hAnsi="仿宋_GB2312" w:eastAsia="宋体" w:cs="仿宋_GB2312"/>
          <w:kern w:val="0"/>
          <w:sz w:val="32"/>
          <w:szCs w:val="32"/>
        </w:rPr>
      </w:pPr>
      <w:r>
        <w:rPr>
          <w:rFonts w:hint="eastAsia" w:ascii="黑体" w:hAnsi="黑体" w:eastAsia="黑体" w:cs="黑体"/>
          <w:sz w:val="32"/>
          <w:szCs w:val="32"/>
        </w:rPr>
        <w:t>附件1</w:t>
      </w:r>
    </w:p>
    <w:p>
      <w:pPr>
        <w:spacing w:line="560" w:lineRule="exact"/>
        <w:ind w:firstLine="0" w:firstLineChars="0"/>
        <w:jc w:val="center"/>
        <w:rPr>
          <w:rFonts w:hint="eastAsia" w:ascii="方正小标宋简体" w:hAnsi="仿宋" w:eastAsia="方正小标宋简体" w:cs="仿宋_GB2312"/>
          <w:kern w:val="0"/>
          <w:sz w:val="44"/>
          <w:szCs w:val="44"/>
        </w:rPr>
      </w:pPr>
    </w:p>
    <w:p>
      <w:pPr>
        <w:spacing w:line="560" w:lineRule="exact"/>
        <w:ind w:firstLine="0" w:firstLineChars="0"/>
        <w:jc w:val="center"/>
        <w:rPr>
          <w:rFonts w:hint="eastAsia" w:ascii="方正小标宋简体" w:hAnsi="仿宋" w:eastAsia="方正小标宋简体" w:cs="仿宋_GB2312"/>
          <w:kern w:val="0"/>
          <w:sz w:val="32"/>
          <w:szCs w:val="32"/>
        </w:rPr>
      </w:pPr>
      <w:r>
        <w:rPr>
          <w:rFonts w:hint="eastAsia" w:ascii="方正小标宋简体" w:hAnsi="仿宋" w:eastAsia="方正小标宋简体" w:cs="仿宋_GB2312"/>
          <w:kern w:val="0"/>
          <w:sz w:val="44"/>
          <w:szCs w:val="44"/>
        </w:rPr>
        <w:t>装配式建筑预制率及装配率计算说明</w:t>
      </w:r>
    </w:p>
    <w:p>
      <w:pPr>
        <w:spacing w:line="560" w:lineRule="exact"/>
        <w:ind w:firstLine="0" w:firstLineChars="0"/>
        <w:jc w:val="both"/>
        <w:rPr>
          <w:rFonts w:ascii="方正小标宋简体" w:hAnsi="仿宋" w:eastAsia="方正小标宋简体" w:cs="仿宋_GB2312"/>
          <w:kern w:val="0"/>
          <w:sz w:val="32"/>
          <w:szCs w:val="32"/>
        </w:rPr>
      </w:pPr>
    </w:p>
    <w:p>
      <w:pPr>
        <w:widowControl w:val="0"/>
        <w:tabs>
          <w:tab w:val="left" w:pos="567"/>
        </w:tabs>
        <w:spacing w:line="500" w:lineRule="exact"/>
        <w:ind w:firstLine="676" w:firstLineChars="200"/>
        <w:jc w:val="both"/>
        <w:rPr>
          <w:rFonts w:ascii="仿宋_GB2312" w:hAnsi="宋体" w:eastAsia="仿宋_GB2312" w:cs="宋体"/>
          <w:spacing w:val="9"/>
          <w:kern w:val="0"/>
          <w:sz w:val="32"/>
          <w:szCs w:val="32"/>
          <w:lang w:val="en-US" w:eastAsia="zh-CN" w:bidi="ar-SA"/>
        </w:rPr>
      </w:pPr>
      <w:r>
        <w:rPr>
          <w:rFonts w:hint="eastAsia" w:ascii="仿宋_GB2312" w:hAnsi="宋体" w:eastAsia="仿宋_GB2312" w:cs="宋体"/>
          <w:spacing w:val="9"/>
          <w:kern w:val="0"/>
          <w:sz w:val="32"/>
          <w:szCs w:val="32"/>
          <w:lang w:val="en-US" w:eastAsia="zh-CN" w:bidi="ar-SA"/>
        </w:rPr>
        <w:t>根据</w:t>
      </w:r>
      <w:r>
        <w:rPr>
          <w:rFonts w:hint="eastAsia" w:ascii="仿宋_GB2312" w:hAnsi="仿宋" w:eastAsia="仿宋_GB2312" w:cs="仿宋_GB2312"/>
          <w:kern w:val="0"/>
          <w:sz w:val="32"/>
          <w:szCs w:val="32"/>
          <w:lang w:val="en-US" w:eastAsia="zh-CN" w:bidi="ar-SA"/>
        </w:rPr>
        <w:t>《北京市人民政府办公厅关于加快发展装配式建筑的实施意见》</w:t>
      </w:r>
      <w:r>
        <w:rPr>
          <w:rFonts w:hint="eastAsia" w:ascii="仿宋_GB2312" w:hAnsi="宋体" w:eastAsia="仿宋_GB2312" w:cs="宋体"/>
          <w:spacing w:val="9"/>
          <w:kern w:val="0"/>
          <w:sz w:val="32"/>
          <w:szCs w:val="32"/>
          <w:lang w:val="en-US" w:eastAsia="zh-CN" w:bidi="ar-SA"/>
        </w:rPr>
        <w:t>（京政办发</w:t>
      </w:r>
      <w:r>
        <w:rPr>
          <w:rFonts w:ascii="仿宋_GB2312" w:hAnsi="宋体" w:eastAsia="仿宋_GB2312" w:cs="宋体"/>
          <w:spacing w:val="9"/>
          <w:kern w:val="0"/>
          <w:sz w:val="32"/>
          <w:szCs w:val="32"/>
          <w:lang w:val="en-US" w:eastAsia="zh-CN" w:bidi="ar-SA"/>
        </w:rPr>
        <w:t>〔</w:t>
      </w:r>
      <w:r>
        <w:rPr>
          <w:rFonts w:hint="eastAsia" w:ascii="仿宋_GB2312" w:hAnsi="宋体" w:eastAsia="仿宋_GB2312" w:cs="宋体"/>
          <w:spacing w:val="9"/>
          <w:kern w:val="0"/>
          <w:sz w:val="32"/>
          <w:szCs w:val="32"/>
          <w:lang w:val="en-US" w:eastAsia="zh-CN" w:bidi="ar-SA"/>
        </w:rPr>
        <w:t>2017</w:t>
      </w:r>
      <w:r>
        <w:rPr>
          <w:rFonts w:ascii="仿宋_GB2312" w:hAnsi="宋体" w:eastAsia="仿宋_GB2312" w:cs="宋体"/>
          <w:spacing w:val="9"/>
          <w:kern w:val="0"/>
          <w:sz w:val="32"/>
          <w:szCs w:val="32"/>
          <w:lang w:val="en-US" w:eastAsia="zh-CN" w:bidi="ar-SA"/>
        </w:rPr>
        <w:t>〕</w:t>
      </w:r>
      <w:r>
        <w:rPr>
          <w:rFonts w:hint="eastAsia" w:ascii="仿宋_GB2312" w:hAnsi="宋体" w:eastAsia="仿宋_GB2312" w:cs="宋体"/>
          <w:spacing w:val="9"/>
          <w:kern w:val="0"/>
          <w:sz w:val="32"/>
          <w:szCs w:val="32"/>
          <w:lang w:val="en-US" w:eastAsia="zh-CN" w:bidi="ar-SA"/>
        </w:rPr>
        <w:t>8号），现对装配式建筑预制率及装配率计算进行如下说明：</w:t>
      </w:r>
    </w:p>
    <w:p>
      <w:pPr>
        <w:widowControl w:val="0"/>
        <w:tabs>
          <w:tab w:val="left" w:pos="567"/>
        </w:tabs>
        <w:spacing w:line="500" w:lineRule="exact"/>
        <w:ind w:firstLine="640" w:firstLineChars="200"/>
        <w:jc w:val="both"/>
        <w:rPr>
          <w:rFonts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1.预制率</w:t>
      </w:r>
    </w:p>
    <w:p>
      <w:pPr>
        <w:widowControl w:val="0"/>
        <w:tabs>
          <w:tab w:val="left" w:pos="567"/>
        </w:tabs>
        <w:spacing w:line="500" w:lineRule="exact"/>
        <w:ind w:firstLine="640" w:firstLineChars="200"/>
        <w:jc w:val="both"/>
        <w:rPr>
          <w:rFonts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单体建筑</w:t>
      </w:r>
      <w:r>
        <w:rPr>
          <w:rFonts w:hint="eastAsia" w:ascii="仿宋_GB2312" w:hAnsi="楷体"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0.000标高以上，结构构件采用预制混凝土构件的混凝土用量占全部混凝土用量的体积比，按公式一计算：</w:t>
      </w:r>
    </w:p>
    <w:p>
      <w:pPr>
        <w:widowControl w:val="0"/>
        <w:tabs>
          <w:tab w:val="left" w:pos="567"/>
        </w:tabs>
        <w:spacing w:line="240" w:lineRule="auto"/>
        <w:ind w:firstLine="0" w:firstLineChars="0"/>
        <w:jc w:val="center"/>
        <w:rPr>
          <w:rFonts w:ascii="仿宋_GB2312" w:hAnsi="Times New Roman" w:eastAsia="仿宋_GB2312" w:cs="Times New Roman"/>
          <w:kern w:val="2"/>
          <w:sz w:val="32"/>
          <w:szCs w:val="32"/>
          <w:lang w:val="en-US" w:eastAsia="zh-CN" w:bidi="ar-SA"/>
        </w:rPr>
      </w:pPr>
      <w:r>
        <w:rPr>
          <w:rFonts w:hint="eastAsia" w:ascii="仿宋_GB2312" w:hAnsi="楷体" w:eastAsia="仿宋_GB2312" w:cs="Times New Roman"/>
          <w:kern w:val="2"/>
          <w:sz w:val="32"/>
          <w:szCs w:val="32"/>
          <w:lang w:val="en-US" w:eastAsia="zh-CN" w:bidi="ar-SA"/>
        </w:rPr>
        <w:t>预制率</w:t>
      </w:r>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i/>
          <w:kern w:val="2"/>
          <w:position w:val="-30"/>
          <w:sz w:val="32"/>
          <w:szCs w:val="32"/>
          <w:lang w:val="en-US" w:eastAsia="zh-CN" w:bidi="ar-SA"/>
        </w:rPr>
        <w:object>
          <v:shape id="_x0000_i1025" o:spt="75" type="#_x0000_t75" style="height:44.65pt;width:97.3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hint="eastAsia" w:ascii="仿宋_GB2312" w:hAnsi="楷体" w:eastAsia="仿宋_GB2312" w:cs="Times New Roman"/>
          <w:kern w:val="2"/>
          <w:sz w:val="32"/>
          <w:szCs w:val="32"/>
          <w:lang w:val="en-US" w:eastAsia="zh-CN" w:bidi="ar-SA"/>
        </w:rPr>
        <w:t>（公式一）</w:t>
      </w:r>
    </w:p>
    <w:p>
      <w:pPr>
        <w:widowControl w:val="0"/>
        <w:spacing w:line="500" w:lineRule="exact"/>
        <w:ind w:left="2" w:firstLine="0" w:firstLineChars="0"/>
        <w:jc w:val="both"/>
        <w:rPr>
          <w:rFonts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    式中：</w:t>
      </w:r>
      <w:r>
        <w:rPr>
          <w:rFonts w:hint="eastAsia" w:ascii="仿宋_GB2312" w:hAnsi="Times New Roman" w:eastAsia="仿宋_GB2312" w:cs="Times New Roman"/>
          <w:kern w:val="2"/>
          <w:position w:val="-10"/>
          <w:sz w:val="32"/>
          <w:szCs w:val="32"/>
          <w:lang w:val="en-US" w:eastAsia="zh-CN" w:bidi="ar-SA"/>
        </w:rPr>
        <w:object>
          <v:shape id="_x0000_i1026" o:spt="75" type="#_x0000_t75" style="height:22.65pt;width:16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hint="eastAsia" w:ascii="仿宋_GB2312" w:hAnsi="Times New Roman" w:eastAsia="仿宋_GB2312" w:cs="Times New Roman"/>
          <w:kern w:val="2"/>
          <w:sz w:val="32"/>
          <w:szCs w:val="32"/>
          <w:lang w:val="en-US" w:eastAsia="zh-CN" w:bidi="ar-SA"/>
        </w:rPr>
        <w:t>──</w:t>
      </w:r>
      <w:r>
        <w:rPr>
          <w:rFonts w:hint="eastAsia" w:ascii="仿宋_GB2312" w:hAnsi="宋体" w:eastAsia="仿宋_GB2312" w:cs="Times New Roman"/>
          <w:kern w:val="2"/>
          <w:sz w:val="32"/>
          <w:szCs w:val="32"/>
          <w:lang w:val="en-US" w:eastAsia="zh-CN" w:bidi="ar-SA"/>
        </w:rPr>
        <w:t>建筑</w:t>
      </w:r>
      <w:r>
        <w:rPr>
          <w:rFonts w:hint="eastAsia" w:ascii="仿宋_GB2312" w:hAnsi="Times New Roman" w:eastAsia="仿宋_GB2312" w:cs="Times New Roman"/>
          <w:kern w:val="2"/>
          <w:sz w:val="32"/>
          <w:szCs w:val="32"/>
          <w:lang w:val="en-US" w:eastAsia="zh-CN" w:bidi="ar-SA"/>
        </w:rPr>
        <w:t>±0.000</w:t>
      </w:r>
      <w:r>
        <w:rPr>
          <w:rFonts w:hint="eastAsia" w:ascii="仿宋_GB2312" w:hAnsi="宋体" w:eastAsia="仿宋_GB2312" w:cs="Times New Roman"/>
          <w:kern w:val="2"/>
          <w:sz w:val="32"/>
          <w:szCs w:val="32"/>
          <w:lang w:val="en-US" w:eastAsia="zh-CN" w:bidi="ar-SA"/>
        </w:rPr>
        <w:t>标高以上，结构构件采用预制混凝土构件的混凝土体积；计入</w:t>
      </w:r>
      <w:r>
        <w:rPr>
          <w:rFonts w:hint="eastAsia" w:ascii="仿宋_GB2312" w:hAnsi="Times New Roman" w:eastAsia="仿宋_GB2312" w:cs="Times New Roman"/>
          <w:kern w:val="2"/>
          <w:position w:val="-10"/>
          <w:sz w:val="32"/>
          <w:szCs w:val="32"/>
          <w:lang w:val="en-US" w:eastAsia="zh-CN" w:bidi="ar-SA"/>
        </w:rPr>
        <w:object>
          <v:shape id="_x0000_i1027" o:spt="75" type="#_x0000_t75" style="height:22.65pt;width:16pt;" o:ole="t" filled="f" o:preferrelative="t" stroked="f" coordsize="21600,21600">
            <v:path/>
            <v:fill on="f" focussize="0,0"/>
            <v:stroke on="f" joinstyle="miter"/>
            <v:imagedata r:id="rId7" o:title=""/>
            <o:lock v:ext="edit" aspectratio="t"/>
            <w10:wrap type="none"/>
            <w10:anchorlock/>
          </v:shape>
          <o:OLEObject Type="Embed" ProgID="Equation.3" ShapeID="_x0000_i1027" DrawAspect="Content" ObjectID="_1468075727" r:id="rId8">
            <o:LockedField>false</o:LockedField>
          </o:OLEObject>
        </w:object>
      </w:r>
      <w:r>
        <w:rPr>
          <w:rFonts w:hint="eastAsia" w:ascii="仿宋_GB2312" w:hAnsi="宋体" w:eastAsia="仿宋_GB2312" w:cs="Times New Roman"/>
          <w:kern w:val="2"/>
          <w:sz w:val="32"/>
          <w:szCs w:val="32"/>
          <w:lang w:val="en-US" w:eastAsia="zh-CN" w:bidi="ar-SA"/>
        </w:rPr>
        <w:t>计算的预制混凝土构件类型包括：剪力墙、延性墙板、柱、支撑、梁、桁架、屋架、楼板、楼梯、阳台板、空调板、女儿墙、雨棚等；</w:t>
      </w:r>
    </w:p>
    <w:p>
      <w:pPr>
        <w:widowControl w:val="0"/>
        <w:tabs>
          <w:tab w:val="left" w:pos="567"/>
        </w:tabs>
        <w:spacing w:line="500" w:lineRule="exact"/>
        <w:ind w:firstLine="960" w:firstLineChars="300"/>
        <w:jc w:val="both"/>
        <w:rPr>
          <w:rFonts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position w:val="-10"/>
          <w:sz w:val="32"/>
          <w:szCs w:val="32"/>
          <w:lang w:val="en-US" w:eastAsia="zh-CN" w:bidi="ar-SA"/>
        </w:rPr>
        <w:object>
          <v:shape id="_x0000_i1028" o:spt="75" type="#_x0000_t75" style="height:22.65pt;width:18.65pt;" o:ole="t" filled="f" o:preferrelative="t" stroked="f" coordsize="21600,21600">
            <v:path/>
            <v:fill on="f" focussize="0,0"/>
            <v:stroke on="f" joinstyle="miter"/>
            <v:imagedata r:id="rId10" o:title=""/>
            <o:lock v:ext="edit" aspectratio="t"/>
            <w10:wrap type="none"/>
            <w10:anchorlock/>
          </v:shape>
          <o:OLEObject Type="Embed" ProgID="Equation.3" ShapeID="_x0000_i1028" DrawAspect="Content" ObjectID="_1468075728" r:id="rId9">
            <o:LockedField>false</o:LockedField>
          </o:OLEObject>
        </w:object>
      </w:r>
      <w:r>
        <w:rPr>
          <w:rFonts w:hint="eastAsia" w:ascii="仿宋_GB2312" w:hAnsi="Times New Roman" w:eastAsia="仿宋_GB2312" w:cs="Times New Roman"/>
          <w:kern w:val="2"/>
          <w:sz w:val="32"/>
          <w:szCs w:val="32"/>
          <w:lang w:val="en-US" w:eastAsia="zh-CN" w:bidi="ar-SA"/>
        </w:rPr>
        <w:t>──</w:t>
      </w:r>
      <w:r>
        <w:rPr>
          <w:rFonts w:hint="eastAsia" w:ascii="仿宋_GB2312" w:hAnsi="宋体" w:eastAsia="仿宋_GB2312" w:cs="Times New Roman"/>
          <w:kern w:val="2"/>
          <w:sz w:val="32"/>
          <w:szCs w:val="32"/>
          <w:lang w:val="en-US" w:eastAsia="zh-CN" w:bidi="ar-SA"/>
        </w:rPr>
        <w:t>建筑</w:t>
      </w:r>
      <w:r>
        <w:rPr>
          <w:rFonts w:hint="eastAsia" w:ascii="仿宋_GB2312" w:hAnsi="Times New Roman" w:eastAsia="仿宋_GB2312" w:cs="Times New Roman"/>
          <w:kern w:val="2"/>
          <w:sz w:val="32"/>
          <w:szCs w:val="32"/>
          <w:lang w:val="en-US" w:eastAsia="zh-CN" w:bidi="ar-SA"/>
        </w:rPr>
        <w:t>±0.000</w:t>
      </w:r>
      <w:r>
        <w:rPr>
          <w:rFonts w:hint="eastAsia" w:ascii="仿宋_GB2312" w:hAnsi="宋体" w:eastAsia="仿宋_GB2312" w:cs="Times New Roman"/>
          <w:kern w:val="2"/>
          <w:sz w:val="32"/>
          <w:szCs w:val="32"/>
          <w:lang w:val="en-US" w:eastAsia="zh-CN" w:bidi="ar-SA"/>
        </w:rPr>
        <w:t>标高以上，结构构件采用现浇混凝土构件的混凝土体积。</w:t>
      </w:r>
    </w:p>
    <w:p>
      <w:pPr>
        <w:widowControl w:val="0"/>
        <w:tabs>
          <w:tab w:val="left" w:pos="567"/>
        </w:tabs>
        <w:spacing w:line="500" w:lineRule="exact"/>
        <w:ind w:firstLine="640" w:firstLineChars="200"/>
        <w:jc w:val="both"/>
        <w:rPr>
          <w:rFonts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w:t>
      </w:r>
      <w:r>
        <w:rPr>
          <w:rFonts w:hint="eastAsia" w:ascii="仿宋_GB2312" w:hAnsi="宋体" w:eastAsia="仿宋_GB2312" w:cs="Times New Roman"/>
          <w:kern w:val="2"/>
          <w:sz w:val="32"/>
          <w:szCs w:val="32"/>
          <w:lang w:val="en-US" w:eastAsia="zh-CN" w:bidi="ar-SA"/>
        </w:rPr>
        <w:t>装配</w:t>
      </w:r>
      <w:r>
        <w:rPr>
          <w:rFonts w:hint="eastAsia" w:ascii="仿宋_GB2312" w:hAnsi="Times New Roman" w:eastAsia="仿宋_GB2312" w:cs="Times New Roman"/>
          <w:kern w:val="2"/>
          <w:sz w:val="32"/>
          <w:szCs w:val="32"/>
          <w:lang w:val="en-US" w:eastAsia="zh-CN" w:bidi="ar-SA"/>
        </w:rPr>
        <w:t>率</w:t>
      </w:r>
    </w:p>
    <w:p>
      <w:pPr>
        <w:widowControl w:val="0"/>
        <w:tabs>
          <w:tab w:val="left" w:pos="567"/>
        </w:tabs>
        <w:spacing w:line="500" w:lineRule="exact"/>
        <w:ind w:firstLine="640" w:firstLineChars="200"/>
        <w:jc w:val="both"/>
        <w:rPr>
          <w:rFonts w:ascii="仿宋_GB2312" w:hAnsi="楷体"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单体建筑</w:t>
      </w:r>
      <w:r>
        <w:rPr>
          <w:rFonts w:hint="eastAsia" w:ascii="仿宋_GB2312" w:hAnsi="楷体"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0.000标高以上，围护和分隔墙体、装修与设备管线等采用预制部品部件的综合比例，按公式二计算：</w:t>
      </w:r>
    </w:p>
    <w:p>
      <w:pPr>
        <w:widowControl w:val="0"/>
        <w:tabs>
          <w:tab w:val="left" w:pos="709"/>
        </w:tabs>
        <w:spacing w:line="240" w:lineRule="auto"/>
        <w:ind w:firstLine="0" w:firstLineChars="0"/>
        <w:jc w:val="center"/>
        <w:rPr>
          <w:rFonts w:ascii="仿宋_GB2312" w:hAnsi="Times New Roman"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装配率=</w:t>
      </w:r>
      <w:r>
        <w:rPr>
          <w:rFonts w:hint="eastAsia" w:ascii="仿宋_GB2312" w:hAnsi="楷体" w:eastAsia="仿宋_GB2312" w:cs="Times New Roman"/>
          <w:kern w:val="2"/>
          <w:position w:val="-28"/>
          <w:sz w:val="32"/>
          <w:szCs w:val="32"/>
          <w:lang w:val="en-US" w:eastAsia="zh-CN" w:bidi="ar-SA"/>
        </w:rPr>
        <w:object>
          <v:shape id="_x0000_i1029" o:spt="75" type="#_x0000_t75" style="height:46pt;width:102.05pt;" o:ole="t" filled="f" o:preferrelative="t" stroked="f" coordsize="21600,21600">
            <v:path/>
            <v:fill on="f" focussize="0,0"/>
            <v:stroke on="f" joinstyle="miter"/>
            <v:imagedata r:id="rId12" o:title=""/>
            <o:lock v:ext="edit" aspectratio="t"/>
            <w10:wrap type="none"/>
            <w10:anchorlock/>
          </v:shape>
          <o:OLEObject Type="Embed" ProgID="Equation.3" ShapeID="_x0000_i1029" DrawAspect="Content" ObjectID="_1468075729" r:id="rId11">
            <o:LockedField>false</o:LockedField>
          </o:OLEObject>
        </w:object>
      </w:r>
      <w:r>
        <w:rPr>
          <w:rFonts w:hint="eastAsia" w:ascii="仿宋_GB2312" w:hAnsi="楷体" w:eastAsia="仿宋_GB2312" w:cs="Times New Roman"/>
          <w:kern w:val="2"/>
          <w:sz w:val="32"/>
          <w:szCs w:val="32"/>
          <w:lang w:val="en-US" w:eastAsia="zh-CN" w:bidi="ar-SA"/>
        </w:rPr>
        <w:t>（公式二）</w:t>
      </w:r>
    </w:p>
    <w:p>
      <w:pPr>
        <w:widowControl w:val="0"/>
        <w:tabs>
          <w:tab w:val="left" w:pos="709"/>
        </w:tabs>
        <w:spacing w:line="500" w:lineRule="exact"/>
        <w:ind w:firstLine="0" w:firstLineChars="0"/>
        <w:jc w:val="both"/>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式中：</w:t>
      </w:r>
      <w:r>
        <w:rPr>
          <w:rFonts w:hint="eastAsia" w:ascii="仿宋_GB2312" w:hAnsi="宋体" w:eastAsia="仿宋_GB2312" w:cs="Times New Roman"/>
          <w:kern w:val="2"/>
          <w:position w:val="-12"/>
          <w:sz w:val="32"/>
          <w:szCs w:val="32"/>
          <w:lang w:val="en-US" w:eastAsia="zh-CN" w:bidi="ar-SA"/>
        </w:rPr>
        <w:object>
          <v:shape id="_x0000_i1030" o:spt="75" type="#_x0000_t75" style="height:25.9pt;width:20pt;" o:ole="t" filled="f" o:preferrelative="t" stroked="f" coordsize="21600,21600">
            <v:path/>
            <v:fill on="f" focussize="0,0"/>
            <v:stroke on="f" joinstyle="miter"/>
            <v:imagedata r:id="rId14" o:title=""/>
            <o:lock v:ext="edit" aspectratio="t"/>
            <w10:wrap type="none"/>
            <w10:anchorlock/>
          </v:shape>
          <o:OLEObject Type="Embed" ProgID="Equation.3" ShapeID="_x0000_i1030" DrawAspect="Content" ObjectID="_1468075730" r:id="rId13">
            <o:LockedField>false</o:LockedField>
          </o:OLEObject>
        </w:object>
      </w:r>
      <w:r>
        <w:rPr>
          <w:rFonts w:hint="eastAsia" w:ascii="仿宋_GB2312" w:hAnsi="楷体" w:eastAsia="仿宋_GB2312" w:cs="Times New Roman"/>
          <w:kern w:val="2"/>
          <w:sz w:val="32"/>
          <w:szCs w:val="32"/>
          <w:lang w:val="en-US" w:eastAsia="zh-CN" w:bidi="ar-SA"/>
        </w:rPr>
        <w:t>──</w:t>
      </w:r>
      <w:r>
        <w:rPr>
          <w:rFonts w:hint="eastAsia" w:ascii="仿宋_GB2312" w:hAnsi="宋体" w:eastAsia="仿宋_GB2312" w:cs="Times New Roman"/>
          <w:kern w:val="2"/>
          <w:sz w:val="32"/>
          <w:szCs w:val="32"/>
          <w:lang w:val="en-US" w:eastAsia="zh-CN" w:bidi="ar-SA"/>
        </w:rPr>
        <w:t>各指标实际得分值，具体要求见“装配式建筑装配率评分表”；</w:t>
      </w:r>
    </w:p>
    <w:p>
      <w:pPr>
        <w:widowControl w:val="0"/>
        <w:tabs>
          <w:tab w:val="left" w:pos="709"/>
        </w:tabs>
        <w:spacing w:line="500" w:lineRule="exact"/>
        <w:ind w:firstLine="960" w:firstLineChars="300"/>
        <w:jc w:val="both"/>
        <w:rPr>
          <w:rFonts w:ascii="仿宋_GB2312" w:hAnsi="Times New Roman" w:eastAsia="仿宋_GB2312" w:cs="Times New Roman"/>
          <w:kern w:val="2"/>
          <w:sz w:val="32"/>
          <w:szCs w:val="32"/>
          <w:lang w:val="en-US" w:eastAsia="zh-CN" w:bidi="ar-SA"/>
        </w:rPr>
      </w:pPr>
      <w:r>
        <w:rPr>
          <w:rFonts w:hint="eastAsia" w:ascii="仿宋_GB2312" w:hAnsi="楷体" w:eastAsia="仿宋_GB2312" w:cs="Times New Roman"/>
          <w:kern w:val="2"/>
          <w:position w:val="-10"/>
          <w:sz w:val="32"/>
          <w:szCs w:val="32"/>
          <w:lang w:val="en-US" w:eastAsia="zh-CN" w:bidi="ar-SA"/>
        </w:rPr>
        <w:object>
          <v:shape id="_x0000_i1031" o:spt="75" type="#_x0000_t75" style="height:21.35pt;width:16pt;" o:ole="t" filled="f" o:preferrelative="t" stroked="f" coordsize="21600,21600">
            <v:path/>
            <v:fill on="f" focussize="0,0"/>
            <v:stroke on="f" joinstyle="miter"/>
            <v:imagedata r:id="rId16" o:title=""/>
            <o:lock v:ext="edit" aspectratio="t"/>
            <w10:wrap type="none"/>
            <w10:anchorlock/>
          </v:shape>
          <o:OLEObject Type="Embed" ProgID="Equation.3" ShapeID="_x0000_i1031" DrawAspect="Content" ObjectID="_1468075731" r:id="rId15">
            <o:LockedField>false</o:LockedField>
          </o:OLEObject>
        </w:object>
      </w:r>
      <w:r>
        <w:rPr>
          <w:rFonts w:hint="eastAsia" w:ascii="仿宋_GB2312" w:hAnsi="楷体"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单体建筑</w:t>
      </w:r>
      <w:r>
        <w:rPr>
          <w:rFonts w:hint="eastAsia" w:ascii="仿宋_GB2312" w:hAnsi="宋体" w:eastAsia="仿宋_GB2312" w:cs="Times New Roman"/>
          <w:kern w:val="2"/>
          <w:sz w:val="32"/>
          <w:szCs w:val="32"/>
          <w:lang w:val="en-US" w:eastAsia="zh-CN" w:bidi="ar-SA"/>
        </w:rPr>
        <w:t>中缺少的评价内容的分值总和（如：若公共建筑中无厨房和采暖管线，则</w:t>
      </w:r>
      <w:r>
        <w:rPr>
          <w:rFonts w:hint="eastAsia" w:ascii="仿宋_GB2312" w:hAnsi="楷体" w:eastAsia="仿宋_GB2312" w:cs="Times New Roman"/>
          <w:kern w:val="2"/>
          <w:position w:val="-10"/>
          <w:sz w:val="32"/>
          <w:szCs w:val="32"/>
          <w:lang w:val="en-US" w:eastAsia="zh-CN" w:bidi="ar-SA"/>
        </w:rPr>
        <w:object>
          <v:shape id="_x0000_i1032" o:spt="75" type="#_x0000_t75" style="height:21.35pt;width:16pt;" o:ole="t" filled="f" o:preferrelative="t" stroked="f" coordsize="21600,21600">
            <v:path/>
            <v:fill on="f" focussize="0,0"/>
            <v:stroke on="f" joinstyle="miter"/>
            <v:imagedata r:id="rId16" o:title=""/>
            <o:lock v:ext="edit" aspectratio="t"/>
            <w10:wrap type="none"/>
            <w10:anchorlock/>
          </v:shape>
          <o:OLEObject Type="Embed" ProgID="Equation.3" ShapeID="_x0000_i1032" DrawAspect="Content" ObjectID="_1468075732" r:id="rId17">
            <o:LockedField>false</o:LockedField>
          </o:OLEObject>
        </w:object>
      </w:r>
      <w:r>
        <w:rPr>
          <w:rFonts w:hint="eastAsia" w:ascii="仿宋_GB2312" w:hAnsi="宋体" w:eastAsia="仿宋_GB2312" w:cs="Times New Roman"/>
          <w:kern w:val="2"/>
          <w:sz w:val="32"/>
          <w:szCs w:val="32"/>
          <w:lang w:val="en-US" w:eastAsia="zh-CN" w:bidi="ar-SA"/>
        </w:rPr>
        <w:t>=10+4=14）。</w:t>
      </w:r>
    </w:p>
    <w:p>
      <w:pPr>
        <w:widowControl w:val="0"/>
        <w:tabs>
          <w:tab w:val="left" w:pos="567"/>
        </w:tabs>
        <w:spacing w:line="500" w:lineRule="exact"/>
        <w:ind w:firstLine="640" w:firstLineChars="200"/>
        <w:jc w:val="left"/>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3.装配式混凝土结构单体建筑应同时满足预制率和装配率的要求；钢结构单体建筑应满足装配率的要求。</w:t>
      </w:r>
    </w:p>
    <w:p>
      <w:pPr>
        <w:widowControl w:val="0"/>
        <w:tabs>
          <w:tab w:val="left" w:pos="567"/>
        </w:tabs>
        <w:spacing w:line="500" w:lineRule="exact"/>
        <w:ind w:firstLine="640" w:firstLineChars="200"/>
        <w:jc w:val="left"/>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4.水平构件采用预制（叠合）构件或免支模的应用比例应≥70%。</w:t>
      </w:r>
    </w:p>
    <w:p>
      <w:pPr>
        <w:widowControl w:val="0"/>
        <w:tabs>
          <w:tab w:val="left" w:pos="567"/>
        </w:tabs>
        <w:spacing w:line="500" w:lineRule="exact"/>
        <w:ind w:firstLine="640" w:firstLineChars="200"/>
        <w:jc w:val="left"/>
        <w:rPr>
          <w:rFonts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5.对于主楼带有裙房的建筑项目，当裙房规模较大时，主楼和裙房可分别按不同的单体建筑进行计算和评价，主楼与裙房可按主楼标准层正投影范围确认分界。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B44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oleObject" Target="embeddings/oleObject8.bin"/><Relationship Id="rId16" Type="http://schemas.openxmlformats.org/officeDocument/2006/relationships/image" Target="media/image6.wmf"/><Relationship Id="rId15" Type="http://schemas.openxmlformats.org/officeDocument/2006/relationships/oleObject" Target="embeddings/oleObject7.bin"/><Relationship Id="rId14" Type="http://schemas.openxmlformats.org/officeDocument/2006/relationships/image" Target="media/image5.wmf"/><Relationship Id="rId13" Type="http://schemas.openxmlformats.org/officeDocument/2006/relationships/oleObject" Target="embeddings/oleObject6.bin"/><Relationship Id="rId12" Type="http://schemas.openxmlformats.org/officeDocument/2006/relationships/image" Target="media/image4.wmf"/><Relationship Id="rId11" Type="http://schemas.openxmlformats.org/officeDocument/2006/relationships/oleObject" Target="embeddings/oleObject5.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2022-04-12T07:29:49Z</dcterms:created>
  <dc:creator>hp</dc:creator>
  <cp:lastModifiedBy>★かか♥蕾</cp:lastModifiedBy>
  <dcterms:modified xsi:type="dcterms:W3CDTF">2022-04-12T07:30:05Z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