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 w:cs="宋体"/>
          <w:kern w:val="0"/>
          <w:szCs w:val="32"/>
        </w:rPr>
      </w:pPr>
      <w:r>
        <w:rPr>
          <w:rFonts w:hint="eastAsia" w:ascii="黑体" w:eastAsia="黑体" w:cs="宋体"/>
          <w:kern w:val="0"/>
          <w:szCs w:val="32"/>
        </w:rPr>
        <w:t>附件2</w:t>
      </w:r>
    </w:p>
    <w:p>
      <w:pPr>
        <w:spacing w:line="560" w:lineRule="exact"/>
        <w:rPr>
          <w:rFonts w:hint="eastAsia" w:ascii="仿宋_GB2312" w:cs="宋体"/>
          <w:kern w:val="0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pacing w:val="-16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16"/>
          <w:kern w:val="0"/>
          <w:sz w:val="44"/>
          <w:szCs w:val="44"/>
        </w:rPr>
        <w:t>延庆县决定承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pacing w:val="-16"/>
          <w:kern w:val="0"/>
          <w:sz w:val="44"/>
          <w:szCs w:val="44"/>
        </w:rPr>
        <w:t>接的行政审批项目目录</w:t>
      </w:r>
    </w:p>
    <w:p>
      <w:pPr>
        <w:spacing w:line="560" w:lineRule="exact"/>
        <w:jc w:val="center"/>
        <w:rPr>
          <w:rFonts w:hint="eastAsia" w:ascii="楷体_GB2312" w:eastAsia="楷体_GB2312" w:cs="宋体"/>
          <w:kern w:val="0"/>
          <w:szCs w:val="32"/>
        </w:rPr>
      </w:pPr>
      <w:r>
        <w:rPr>
          <w:rFonts w:hint="eastAsia" w:ascii="楷体_GB2312" w:eastAsia="楷体_GB2312" w:cs="宋体"/>
          <w:kern w:val="0"/>
          <w:szCs w:val="32"/>
        </w:rPr>
        <w:t>（共计10项）</w:t>
      </w:r>
    </w:p>
    <w:p>
      <w:pPr>
        <w:spacing w:line="560" w:lineRule="exact"/>
        <w:jc w:val="center"/>
        <w:rPr>
          <w:rFonts w:hint="eastAsia" w:ascii="仿宋_GB2312" w:cs="宋体"/>
          <w:kern w:val="0"/>
          <w:szCs w:val="32"/>
        </w:rPr>
      </w:pPr>
    </w:p>
    <w:tbl>
      <w:tblPr>
        <w:tblStyle w:val="2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679"/>
        <w:gridCol w:w="1485"/>
        <w:gridCol w:w="3045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审批部门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设定依据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赛车场项目核准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县发展改革委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《国务院关于投资体制改革的决定》（国发〔2004〕20号）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城市轨道交通车辆、信号系统和牵引传动控制系统制造项目核准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县发展改革委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《国务院关于投资体制改革的决定》（国发〔2004〕20号）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卫星电视接收机及关键件、国家特殊规定的移动通信及终端等生产项目核准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县发展改革委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《国务院关于投资体制改革的决定》（国发〔2004〕20号）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各类汽车交易市场、汽车配件市场项目核准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县发展改革委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《国务院关于投资体制改革的决定》（国发〔2004〕20号）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企业投资的2亿元以下的民政项目、文化体育项目、教育项目、医疗卫生项目、养老项目核准；区、县政府投资的2亿元以下的就业社保服务项目、民政项目、文化体育项目、教育项目、医疗卫生项目、养老项目核准，棚户区改造和环境整治征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县发展改革委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《国务院关于投资体制改革的决定》（国发〔2004〕20号）</w:t>
            </w:r>
          </w:p>
        </w:tc>
        <w:tc>
          <w:tcPr>
            <w:tcW w:w="822" w:type="dxa"/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压等级35千伏、10千伏配网基建工程（其中不含10千伏专项配电工程和10千伏用户电工程）、低压（380伏、220伏）配网工程、区内1.6MPa及以下天然气管线设施，LNG和CNG加气站项目，区内管径DN800以下供热管网项目，燃气供热设施项目，分布式光伏电站项目（含个人用户电站），农村太阳能采暖项目核准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县发展改革委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《国务院关于投资体制改革的决定》（国发〔2004〕20号）</w:t>
            </w:r>
          </w:p>
        </w:tc>
        <w:tc>
          <w:tcPr>
            <w:tcW w:w="822" w:type="dxa"/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总面积5万平方米以下的口岸设施，总面积5万平方米以下的商业设施，总面积5万平方米以下的物流仓储设施项目核准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县发展改革委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《国务院关于投资体制改革的决定》（国发〔2004〕20号）</w:t>
            </w:r>
          </w:p>
        </w:tc>
        <w:tc>
          <w:tcPr>
            <w:tcW w:w="822" w:type="dxa"/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防洪费减免缓审批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县发展改革委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《北京市征收防洪工程建设维护管理费暂行规定》（市政府令第21号）</w:t>
            </w:r>
          </w:p>
        </w:tc>
        <w:tc>
          <w:tcPr>
            <w:tcW w:w="822" w:type="dxa"/>
            <w:shd w:val="clear" w:color="auto" w:fill="auto"/>
            <w:vAlign w:val="bottom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外商投资项目备案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县发展改革委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《北京市发展改革委关于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过渡期</w:t>
            </w:r>
            <w:r>
              <w:rPr>
                <w:rFonts w:hint="eastAsia" w:ascii="仿宋_GB2312" w:hAnsi="宋体"/>
                <w:sz w:val="21"/>
                <w:szCs w:val="21"/>
              </w:rPr>
              <w:t>外商投资项目核准和备案有关问题的意见》（京发改〔2014〕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2481号）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防洪工程、城镇河湖、河湖整治、学校、幼儿园、托儿所、专科防治所（站）、体育场、体育馆、零售市场类应编制环境影响报告书项目的环境影响评价审批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县环保局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《中华人民共和国环境影响评价法》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《建设项目环境保护管理条例》（国务院令第253号）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r>
        <w:rPr>
          <w:rFonts w:ascii="仿宋_GB2312" w:hAnsi="宋体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C450F"/>
    <w:rsid w:val="041A178A"/>
    <w:rsid w:val="7CEC4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2017-01-22T04:22:00Z</dcterms:created>
  <dc:creator>Mmf99</dc:creator>
  <cp:lastModifiedBy>两两相见不惊艳</cp:lastModifiedBy>
  <dcterms:modified xsi:type="dcterms:W3CDTF">2021-04-12T06:31:31Z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8C166D6EF54D4AD7AD06F976C1574720</vt:lpwstr>
  </property>
</Properties>
</file>