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/>
    <w:p/>
    <w:p/>
    <w:p/>
    <w:p/>
    <w:p/>
    <w:p>
      <w:pPr>
        <w:jc w:val="both"/>
        <w:rPr>
          <w:sz w:val="48"/>
          <w:szCs w:val="48"/>
        </w:rPr>
      </w:pPr>
    </w:p>
    <w:p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非营利组织免税资格申请网上办理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rFonts w:hint="eastAsia"/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操作手册</w:t>
      </w:r>
    </w:p>
    <w:p>
      <w:pPr>
        <w:jc w:val="center"/>
        <w:rPr>
          <w:rFonts w:hint="eastAsia"/>
          <w:sz w:val="48"/>
          <w:szCs w:val="48"/>
          <w:lang w:eastAsia="zh-CN"/>
        </w:rPr>
      </w:pPr>
      <w:r>
        <w:rPr>
          <w:rFonts w:hint="eastAsia"/>
          <w:sz w:val="48"/>
          <w:szCs w:val="48"/>
          <w:lang w:eastAsia="zh-CN"/>
        </w:rPr>
        <w:t>（纳税人使用）</w:t>
      </w:r>
    </w:p>
    <w:p>
      <w:pPr>
        <w:jc w:val="center"/>
        <w:rPr>
          <w:rFonts w:hint="eastAsia"/>
          <w:sz w:val="48"/>
          <w:szCs w:val="48"/>
          <w:lang w:eastAsia="zh-CN"/>
        </w:rPr>
      </w:pPr>
    </w:p>
    <w:p>
      <w:pPr>
        <w:jc w:val="center"/>
        <w:rPr>
          <w:rFonts w:hint="eastAsia"/>
          <w:sz w:val="48"/>
          <w:szCs w:val="48"/>
          <w:lang w:eastAsia="zh-CN"/>
        </w:rPr>
      </w:pPr>
    </w:p>
    <w:p>
      <w:pPr>
        <w:jc w:val="center"/>
        <w:rPr>
          <w:rFonts w:hint="eastAsia"/>
          <w:sz w:val="48"/>
          <w:szCs w:val="48"/>
          <w:lang w:eastAsia="zh-CN"/>
        </w:rPr>
      </w:pPr>
    </w:p>
    <w:p>
      <w:pPr>
        <w:jc w:val="center"/>
        <w:rPr>
          <w:rFonts w:hint="eastAsia"/>
          <w:sz w:val="48"/>
          <w:szCs w:val="48"/>
          <w:lang w:eastAsia="zh-CN"/>
        </w:rPr>
      </w:pPr>
    </w:p>
    <w:p>
      <w:pPr>
        <w:jc w:val="center"/>
        <w:rPr>
          <w:rFonts w:hint="eastAsia"/>
          <w:sz w:val="48"/>
          <w:szCs w:val="48"/>
          <w:lang w:eastAsia="zh-CN"/>
        </w:rPr>
      </w:pPr>
    </w:p>
    <w:p>
      <w:pPr>
        <w:jc w:val="center"/>
        <w:rPr>
          <w:rFonts w:hint="eastAsia"/>
          <w:sz w:val="48"/>
          <w:szCs w:val="48"/>
          <w:lang w:eastAsia="zh-CN"/>
        </w:rPr>
      </w:pPr>
    </w:p>
    <w:p>
      <w:pPr>
        <w:jc w:val="center"/>
        <w:rPr>
          <w:rFonts w:hint="eastAsia"/>
          <w:sz w:val="48"/>
          <w:szCs w:val="48"/>
          <w:lang w:eastAsia="zh-CN"/>
        </w:rPr>
      </w:pPr>
    </w:p>
    <w:p>
      <w:pPr>
        <w:jc w:val="center"/>
        <w:rPr>
          <w:rFonts w:hint="eastAsia"/>
          <w:sz w:val="48"/>
          <w:szCs w:val="48"/>
          <w:lang w:eastAsia="zh-CN"/>
        </w:rPr>
      </w:pPr>
    </w:p>
    <w:p>
      <w:pPr>
        <w:jc w:val="center"/>
        <w:rPr>
          <w:rFonts w:hint="eastAsia"/>
          <w:sz w:val="48"/>
          <w:szCs w:val="48"/>
          <w:lang w:eastAsia="zh-CN"/>
        </w:rPr>
      </w:pPr>
    </w:p>
    <w:p>
      <w:pPr>
        <w:jc w:val="center"/>
        <w:rPr>
          <w:rFonts w:hint="eastAsia"/>
          <w:sz w:val="48"/>
          <w:szCs w:val="48"/>
          <w:lang w:eastAsia="zh-CN"/>
        </w:rPr>
      </w:pPr>
    </w:p>
    <w:p>
      <w:pPr>
        <w:jc w:val="center"/>
        <w:rPr>
          <w:rFonts w:hint="eastAsia"/>
          <w:sz w:val="48"/>
          <w:szCs w:val="48"/>
          <w:lang w:eastAsia="zh-CN"/>
        </w:rPr>
      </w:pPr>
    </w:p>
    <w:p>
      <w:pPr>
        <w:jc w:val="center"/>
        <w:rPr>
          <w:rFonts w:hint="eastAsia" w:eastAsia="宋体"/>
          <w:b/>
          <w:sz w:val="36"/>
          <w:szCs w:val="36"/>
          <w:lang w:val="en-US" w:eastAsia="zh-CN"/>
        </w:rPr>
      </w:pPr>
      <w:r>
        <w:rPr>
          <w:rFonts w:hint="eastAsia" w:eastAsia="宋体"/>
          <w:b/>
          <w:sz w:val="36"/>
          <w:szCs w:val="36"/>
          <w:lang w:val="en-US" w:eastAsia="zh-CN"/>
        </w:rPr>
        <w:t>2018年9月27日</w:t>
      </w:r>
    </w:p>
    <w:p>
      <w:pPr>
        <w:jc w:val="left"/>
        <w:rPr>
          <w:b/>
          <w:sz w:val="24"/>
          <w:szCs w:val="24"/>
        </w:rPr>
      </w:pPr>
    </w:p>
    <w:p>
      <w:pPr>
        <w:jc w:val="left"/>
        <w:rPr>
          <w:b/>
          <w:sz w:val="24"/>
          <w:szCs w:val="24"/>
        </w:rPr>
      </w:pPr>
    </w:p>
    <w:p>
      <w:pPr>
        <w:jc w:val="left"/>
        <w:rPr>
          <w:b/>
          <w:sz w:val="24"/>
          <w:szCs w:val="24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1.双击打开“北京市网上税务局(企业版)”软件，进入办税软件。</w:t>
      </w:r>
    </w:p>
    <w:p>
      <w:pPr>
        <w:jc w:val="center"/>
        <w:rPr>
          <w:rFonts w:hint="eastAsia" w:ascii="仿宋_GB2312" w:hAnsi="仿宋_GB2312" w:eastAsia="仿宋_GB2312" w:cs="仿宋_GB2312"/>
          <w:b w:val="0"/>
          <w:bCs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1" o:spid="_x0000_s1027" type="#_x0000_t75" style="height:137.1pt;width:236.5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2.使用用户名方式登录（输入用户名和密码）；证书方式（待电脑检测到证书后输入密码即可登录）</w:t>
      </w:r>
    </w:p>
    <w:p>
      <w:pPr>
        <w:rPr>
          <w:rFonts w:hint="eastAsia" w:ascii="仿宋_GB2312" w:hAnsi="仿宋_GB2312" w:eastAsia="仿宋_GB2312" w:cs="仿宋_GB2312"/>
          <w:b w:val="0"/>
          <w:bCs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5" o:spid="_x0000_s1028" type="#_x0000_t75" style="height:217.05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b w:val="0"/>
          <w:bCs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3.点击程序主界面上的“原国税业务”，进入“原国税业务”</w:t>
      </w:r>
      <w:r>
        <w:rPr>
          <w:rFonts w:hint="eastAsia" w:ascii="仿宋_GB2312" w:hAnsi="仿宋_GB2312" w:eastAsia="仿宋_GB2312" w:cs="仿宋_GB2312"/>
          <w:b w:val="0"/>
          <w:bCs/>
          <w:color w:val="FF0000"/>
          <w:sz w:val="28"/>
          <w:szCs w:val="28"/>
          <w:lang w:eastAsia="zh-CN"/>
        </w:rPr>
        <w:t>（原国税地税纳税人办理该业务均由此进入）</w:t>
      </w:r>
    </w:p>
    <w:p>
      <w:pP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b w:val="0"/>
          <w:bCs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color w:val="000000"/>
          <w:kern w:val="2"/>
          <w:sz w:val="28"/>
          <w:szCs w:val="28"/>
          <w:lang w:val="en-US" w:eastAsia="zh-CN" w:bidi="ar-SA"/>
        </w:rPr>
        <w:pict>
          <v:shape id="图片 44" o:spid="_x0000_s1029" type="#_x0000_t75" style="height:190.2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b w:val="0"/>
          <w:bCs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color w:val="000000"/>
          <w:sz w:val="28"/>
          <w:szCs w:val="28"/>
        </w:rPr>
        <w:t>4.点击“网上办税（网页端）”，进入“网上办税服务厅”。</w:t>
      </w:r>
    </w:p>
    <w:p>
      <w:pPr>
        <w:rPr>
          <w:rFonts w:hint="eastAsia" w:ascii="仿宋_GB2312" w:hAnsi="仿宋_GB2312" w:eastAsia="仿宋_GB2312" w:cs="仿宋_GB2312"/>
          <w:b w:val="0"/>
          <w:bCs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color w:val="000000"/>
          <w:kern w:val="2"/>
          <w:sz w:val="28"/>
          <w:szCs w:val="28"/>
          <w:lang w:val="en-US" w:eastAsia="zh-CN" w:bidi="ar-SA"/>
        </w:rPr>
        <w:pict>
          <v:shape id="图片 43" o:spid="_x0000_s1030" type="#_x0000_t75" style="height:305.15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b w:val="0"/>
          <w:bCs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color w:val="000000"/>
          <w:sz w:val="28"/>
          <w:szCs w:val="28"/>
        </w:rPr>
        <w:t>5.进入“网上办税服务厅”后，点击“税收优惠”，再点击“非营利组织免税资格申请”。</w:t>
      </w:r>
    </w:p>
    <w:p>
      <w:pPr>
        <w:rPr>
          <w:rFonts w:hint="eastAsia" w:ascii="仿宋_GB2312" w:hAnsi="仿宋_GB2312" w:eastAsia="仿宋_GB2312" w:cs="仿宋_GB2312"/>
          <w:b w:val="0"/>
          <w:bCs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color w:val="000000"/>
          <w:kern w:val="2"/>
          <w:sz w:val="28"/>
          <w:szCs w:val="28"/>
          <w:lang w:val="en-US" w:eastAsia="zh-CN" w:bidi="ar-SA"/>
        </w:rPr>
        <w:pict>
          <v:shape id="图片 42" o:spid="_x0000_s1031" type="#_x0000_t75" style="height:297.65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6.</w:t>
      </w:r>
      <w:r>
        <w:rPr>
          <w:rFonts w:hint="eastAsia" w:ascii="仿宋_GB2312" w:hAnsi="仿宋_GB2312" w:eastAsia="仿宋_GB2312" w:cs="仿宋_GB2312"/>
          <w:b w:val="0"/>
          <w:bCs/>
          <w:color w:val="000000"/>
          <w:sz w:val="28"/>
          <w:szCs w:val="28"/>
        </w:rPr>
        <w:t xml:space="preserve"> 点击“非营利组织免税资格申请”后，出现提示政策阅读，了解相关政策后，点击同意进入操作界面。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45" o:spid="_x0000_s1032" type="#_x0000_t75" style="height:218.7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（一）非营利组织免税资格认定（初次申请）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7.首先点击“非营利组织免税资格认定”，弹出提示，阅读提示后，点击确定。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11" o:spid="_x0000_s1033" type="#_x0000_t75" style="height:288.75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8. 点击“我要提报一个新申请”，进入提报申请页面。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12" o:spid="_x0000_s1034" type="#_x0000_t75" style="height:282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/>
          <w:snapToGrid w:val="0"/>
          <w:color w:val="000000"/>
          <w:w w:val="0"/>
          <w:kern w:val="0"/>
          <w:sz w:val="28"/>
          <w:szCs w:val="28"/>
          <w:u w:val="none" w:color="000000"/>
          <w:shd w:val="clear" w:color="000000" w:fill="000000"/>
          <w:lang w:val="zh-CN" w:bidi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9.点击“填表”，进入填写“非营利组织免税资格认定申请表”</w:t>
      </w:r>
      <w:r>
        <w:rPr>
          <w:rFonts w:hint="eastAsia" w:ascii="仿宋_GB2312" w:hAnsi="仿宋_GB2312" w:eastAsia="仿宋_GB2312" w:cs="仿宋_GB2312"/>
          <w:b w:val="0"/>
          <w:bCs/>
          <w:snapToGrid w:val="0"/>
          <w:color w:val="000000"/>
          <w:w w:val="0"/>
          <w:kern w:val="0"/>
          <w:sz w:val="28"/>
          <w:szCs w:val="28"/>
          <w:u w:val="none" w:color="000000"/>
          <w:shd w:val="clear" w:color="000000" w:fill="000000"/>
          <w:lang w:val="zh-CN" w:eastAsia="zh-CN" w:bidi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napToGrid w:val="0"/>
          <w:color w:val="000000"/>
          <w:w w:val="0"/>
          <w:kern w:val="0"/>
          <w:sz w:val="28"/>
          <w:szCs w:val="28"/>
          <w:u w:val="none" w:color="000000"/>
          <w:shd w:val="clear" w:color="000000" w:fill="000000"/>
          <w:lang w:val="zh-CN" w:bidi="zh-CN"/>
        </w:rPr>
        <w:t>。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13" o:spid="_x0000_s1035" type="#_x0000_t75" style="height:285.75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10. 按申请表要求填写数据，填写完毕后，点击保存；弹出提示“确认是否保存”，确认没有错误后，点击“确定”，完成填写。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41" o:spid="_x0000_s1036" type="#_x0000_t75" style="height:194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11.附件上传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1）点击“添加附件”，进入附件添加页面；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16" o:spid="_x0000_s1037" type="#_x0000_t75" style="height:279pt;width:439.45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2）在附件管理系统中，选择需要上传的附送资料的类别，进入相应的页面上传。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17" o:spid="_x0000_s1038" type="#_x0000_t75" style="height:183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3）进入相应类别的页面后，点击“添加附件”，在弹出的文件浏览框中，选择要上传的文件后，点击“开始上传”;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18" o:spid="_x0000_s1039" type="#_x0000_t75" style="height:201pt;width:415.1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napToGrid w:val="0"/>
          <w:color w:val="000000"/>
          <w:w w:val="0"/>
          <w:kern w:val="0"/>
          <w:sz w:val="28"/>
          <w:szCs w:val="28"/>
          <w:u w:val="none" w:color="000000"/>
          <w:shd w:val="clear" w:color="000000" w:fill="000000"/>
          <w:lang w:val="zh-CN" w:bidi="zh-CN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napToGrid w:val="0"/>
          <w:color w:val="000000"/>
          <w:w w:val="0"/>
          <w:kern w:val="0"/>
          <w:sz w:val="28"/>
          <w:szCs w:val="28"/>
          <w:u w:val="none" w:color="000000"/>
          <w:shd w:val="clear" w:color="000000" w:fill="000000"/>
          <w:lang w:val="en-US" w:eastAsia="zh-CN" w:bidi="ar-SA"/>
        </w:rPr>
        <w:pict>
          <v:shape id="图片 19" o:spid="_x0000_s1040" type="#_x0000_t75" style="height:246.05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4)待上传附件成功后，弹出提示，点击确定即附件上传完成。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20" o:spid="_x0000_s1041" type="#_x0000_t75" style="height:283.5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5）待所有要求附件上传完毕后，点击“返回”，再点击“关闭”按钮；或者直接点击“关闭”按钮。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rect id="矩形 37" o:spid="_x0000_s1042" style="position:absolute;left:0;margin-left:120.55pt;margin-top:150.6pt;height:3.6pt;width:5.4pt;rotation:0f;z-index:251658240;" o:ole="f" fillcolor="#A5A5A5" filled="t" o:preferrelative="t" stroked="t" coordsize="21600,21600">
            <v:stroke weight="1pt" color="#787878" color2="#FFFFFF" miterlimit="2"/>
            <v:imagedata gain="65536f" blacklevel="0f" gamma="0"/>
            <o:lock v:ext="edit" position="f" selection="f" grouping="f" rotation="f" cropping="f" text="f" aspectratio="f"/>
          </v:rect>
        </w:pic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22" o:spid="_x0000_s1043" type="#_x0000_t75" style="height:297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6）“附件资料”中，勾选要求上传的附件。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rect id="矩形 39" o:spid="_x0000_s1044" style="position:absolute;left:0;margin-left:106.75pt;margin-top:162.15pt;height:3.6pt;width:4.85pt;rotation:0f;z-index:251659264;" o:ole="f" fillcolor="#D1D1D1" filled="t" o:preferrelative="t" stroked="t" coordsize="21600,21600">
            <v:fill type="gradient" on="t" color2="#FFFFFF" o:opacity2="100%" colors="0f #D1D1D1;32768f #C7C7C7;65536f #C0C0C0;" angle="180" focus="0%" focussize="0f,0f" focusposition="0f,0f" method="linear sigma" rotate="t">
              <o:fill type="gradientUnscaled" v:ext="backwardCompatible"/>
            </v:fill>
            <v:stroke weight="0.5pt" color="#A5A5A5" color2="#FFFFFF" miterlimit="2"/>
            <v:imagedata gain="65536f" blacklevel="0f" gamma="0"/>
            <o:lock v:ext="edit" position="f" selection="f" grouping="f" rotation="f" cropping="f" text="f" aspectratio="f"/>
          </v:rect>
        </w:pic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23" o:spid="_x0000_s1045" type="#_x0000_t75" style="height:266.25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12.提交申请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1）点击“提交申请”按钮，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24" o:spid="_x0000_s1046" type="#_x0000_t75" style="height:281.85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2）弹出提示“请确认您提交信息的真实性，准确性”，待确认之后，点击“确定”按钮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25" o:spid="_x0000_s1047" type="#_x0000_t75" style="height:287.3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3）待弹出提示“您的申请已提交成功”，表示申请提交成功，点击“关闭”即可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26" o:spid="_x0000_s1048" type="#_x0000_t75" style="height:275.1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13.提交申请成功后，可在页面下方点击“查询受理结果”，查询当前业务的受理状态结果。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27" o:spid="_x0000_s1049" type="#_x0000_t75" style="height:189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（二）非营利组织免税资格期满复审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14.首先点击“非营利组织免税资格期满复审”，待弹出提示，了解提示后，点击确定进入期满复审页面。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28" o:spid="_x0000_s1050" type="#_x0000_t75" style="height:248.2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15.进入页面后，点击“我要提报一个新申请”，进入提报申请页面。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29" o:spid="_x0000_s1051" type="#_x0000_t75" style="height:313.1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16．首先填写“非营利组织免税资格有效期满复审申请表”，点击填表。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30" o:spid="_x0000_s1052" type="#_x0000_t75" style="height:295.4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17.按要求填写完申请表内容后，点击“保存”，待弹出提示后，确认无误后，点击“确定”。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31" o:spid="_x0000_s1053" type="#_x0000_t75" style="height:233.65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18．上传“非营利组织免税资格有效期满复审申请表”提交要求的附件(上传附件可参考11).附件上传完后，勾选上传完毕的附件。点击提交申请（出现确认提示后，确认无误后点击确定.）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33" o:spid="_x0000_s1054" type="#_x0000_t75" style="height:271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19待提交“非营利组织免税资格有效期满复审申请表”成功后，方可填写“非营利组织免税资格认定申请表”，提报“非营利组织免税资格认定申请表”与初审时一致，可参考初审填报步骤。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pict>
          <v:shape id="图片 34" o:spid="_x0000_s1055" type="#_x0000_t75" style="height:264.9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20、办理状态说明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（1）资料齐全正在审核的，在首页“正在办理业务”中，申请状态为“受理中”，选择办理事项“查看受理结果”显示为“财政税务部门审核中”；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（2）资料不齐全的，在首页“正在办理业务”中，申请状态为“退回补正”，选择办理事项“查看受理结果”显示内容，按照要求补正资料；按照要求补正资料后，申请状态为“受理中”，选择办理事项“查看受理结果”显示为“财政税务部门审核中”；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（3）不符合文件规定，在首页“已办理业务”中，申请状态为 “资料退回”，点击事项“查看受理结果” ；</w:t>
      </w: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（4)审核结束的，在首页“已办理业务”中，申请状态为“已办结”，点击事项“查看受理结果”。</w:t>
      </w:r>
      <w:bookmarkStart w:id="0" w:name="_GoBack"/>
      <w:bookmarkEnd w:id="0"/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21、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技术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eastAsia="zh-CN"/>
        </w:rPr>
        <w:t>支持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 xml:space="preserve">热线： 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62212366  82012366</w:t>
      </w:r>
    </w:p>
    <w:sectPr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新宋体">
    <w:panose1 w:val="02010609030101010101"/>
    <w:charset w:val="86"/>
    <w:family w:val="auto"/>
    <w:pitch w:val="default"/>
    <w:sig w:usb0="00000003" w:usb1="080E0000" w:usb2="00000000" w:usb3="00000000" w:csb0="00040001" w:csb1="0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"/>
    </w:pPr>
    <w:r>
      <w:rPr>
        <w:rFonts w:ascii="等线" w:hAnsi="等线" w:eastAsia="等线" w:cs="黑体"/>
        <w:kern w:val="2"/>
        <w:sz w:val="18"/>
        <w:szCs w:val="22"/>
        <w:lang w:val="en-US" w:eastAsia="zh-CN" w:bidi="ar-SA"/>
      </w:rPr>
      <w:pict>
        <v:rect id="文本框 2" o:spid="_x0000_s1025" style="position:absolute;left:0;margin-top:0pt;height:144pt;width:144pt;mso-position-horizontal:center;mso-position-horizontal-relative:margin;mso-wrap-style:none;rotation:0f;z-index:251658240;" o:ole="f" fillcolor="#FFFFFF" filled="f" o:preferrelative="t" stroked="f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18"/>
                    <w:lang w:eastAsia="zh-CN"/>
                  </w:rPr>
                </w:pPr>
                <w:r>
                  <w:rPr>
                    <w:rFonts w:hint="eastAsia" w:eastAsia="宋体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 w:eastAsia="宋体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eastAsia="宋体"/>
                    <w:sz w:val="18"/>
                    <w:lang w:eastAsia="zh-CN"/>
                  </w:rPr>
                  <w:fldChar w:fldCharType="separate"/>
                </w:r>
                <w:r>
                  <w:rPr>
                    <w:rFonts w:hint="eastAsia" w:eastAsia="宋体"/>
                    <w:sz w:val="18"/>
                    <w:lang w:eastAsia="zh-CN"/>
                  </w:rPr>
                  <w:t>1</w:t>
                </w:r>
                <w:r>
                  <w:rPr>
                    <w:rFonts w:hint="eastAsia" w:eastAsia="宋体"/>
                    <w:sz w:val="18"/>
                    <w:lang w:eastAsia="zh-CN"/>
                  </w:rPr>
                  <w:fldChar w:fldCharType="end"/>
                </w:r>
              </w:p>
            </w:txbxContent>
          </v:textbox>
        </v:rect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E27AE7"/>
    <w:rsid w:val="00021814"/>
    <w:rsid w:val="000C671A"/>
    <w:rsid w:val="00100B2E"/>
    <w:rsid w:val="00294B11"/>
    <w:rsid w:val="00295986"/>
    <w:rsid w:val="00405A9F"/>
    <w:rsid w:val="00470085"/>
    <w:rsid w:val="006973DE"/>
    <w:rsid w:val="007006B3"/>
    <w:rsid w:val="007671AA"/>
    <w:rsid w:val="008A70AD"/>
    <w:rsid w:val="00933EE3"/>
    <w:rsid w:val="009A5B3A"/>
    <w:rsid w:val="009A7884"/>
    <w:rsid w:val="00A4414C"/>
    <w:rsid w:val="00A77941"/>
    <w:rsid w:val="00B32296"/>
    <w:rsid w:val="00BA554C"/>
    <w:rsid w:val="00C6709D"/>
    <w:rsid w:val="00CC4DD1"/>
    <w:rsid w:val="00D733F8"/>
    <w:rsid w:val="00DF4D9C"/>
    <w:rsid w:val="00E27AE7"/>
    <w:rsid w:val="00EE4F90"/>
    <w:rsid w:val="00FA6A64"/>
    <w:rsid w:val="025536D8"/>
    <w:rsid w:val="03D77A6C"/>
    <w:rsid w:val="3EE81BE9"/>
    <w:rsid w:val="494729EA"/>
    <w:rsid w:val="4BF60ADE"/>
    <w:rsid w:val="578B2B58"/>
    <w:rsid w:val="7B4D02BF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Style w:val="5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settings" Target="setting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tyles" Target="style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2" textRotate="1"/>
    <customShpInfo spid="_x0000_s1044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181</Words>
  <Characters>1036</Characters>
  <Lines>8</Lines>
  <Paragraphs>2</Paragraphs>
  <ScaleCrop>false</ScaleCrop>
  <LinksUpToDate>false</LinksUpToDate>
  <CharactersWithSpaces>0</CharactersWithSpaces>
  <Application>WPS Office 专业版_9.1.0.4940_F1E327BC-269C-435d-A152-05C5408002CA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2018-09-25T07:32:00Z</dcterms:created>
  <dc:creator>Administrator</dc:creator>
  <cp:lastModifiedBy>Administrator</cp:lastModifiedBy>
  <cp:lastPrinted>2018-09-30T03:57:00Z</cp:lastPrinted>
  <dcterms:modified xsi:type="dcterms:W3CDTF">2018-09-30T04:17:23Z</dcterms:modified>
  <dc:title>非营利组织免税资格申请网上办理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2052-9.1.0.4940</vt:lpwstr>
  </property>
</Properties>
</file>