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sz w:val="32"/>
          <w:szCs w:val="32"/>
        </w:rPr>
      </w:pPr>
      <w:r>
        <w:rPr>
          <w:rFonts w:hint="eastAsia" w:ascii="黑体" w:hAnsi="黑体" w:eastAsia="黑体"/>
          <w:sz w:val="32"/>
          <w:szCs w:val="32"/>
        </w:rPr>
        <w:t>附件2</w:t>
      </w:r>
    </w:p>
    <w:p>
      <w:pPr>
        <w:spacing w:line="540" w:lineRule="exact"/>
        <w:rPr>
          <w:rFonts w:hint="eastAsia" w:ascii="黑体" w:hAnsi="黑体" w:eastAsia="黑体"/>
          <w:sz w:val="32"/>
          <w:szCs w:val="32"/>
        </w:rPr>
      </w:pPr>
    </w:p>
    <w:p>
      <w:pPr>
        <w:spacing w:line="540" w:lineRule="exact"/>
        <w:jc w:val="center"/>
        <w:rPr>
          <w:rFonts w:hint="eastAsia" w:ascii="方正小标宋_GBK" w:hAnsi="仿宋" w:eastAsia="方正小标宋_GBK" w:cs="仿宋"/>
          <w:sz w:val="40"/>
          <w:szCs w:val="36"/>
        </w:rPr>
      </w:pPr>
      <w:r>
        <w:rPr>
          <w:rFonts w:hint="eastAsia" w:ascii="方正小标宋_GBK" w:hAnsi="仿宋" w:eastAsia="方正小标宋_GBK" w:cs="仿宋"/>
          <w:sz w:val="40"/>
          <w:szCs w:val="36"/>
        </w:rPr>
        <w:t>密云区清理整治违法违规排污及生产经营行为</w:t>
      </w:r>
    </w:p>
    <w:p>
      <w:pPr>
        <w:spacing w:line="540" w:lineRule="exact"/>
        <w:jc w:val="center"/>
        <w:rPr>
          <w:rFonts w:hint="eastAsia" w:ascii="方正小标宋_GBK" w:hAnsi="仿宋" w:eastAsia="方正小标宋_GBK" w:cs="仿宋"/>
          <w:sz w:val="40"/>
          <w:szCs w:val="36"/>
        </w:rPr>
      </w:pPr>
      <w:r>
        <w:rPr>
          <w:rFonts w:hint="eastAsia" w:ascii="方正小标宋_GBK" w:hAnsi="仿宋" w:eastAsia="方正小标宋_GBK" w:cs="仿宋"/>
          <w:sz w:val="40"/>
          <w:szCs w:val="36"/>
        </w:rPr>
        <w:t>专项工作领导小组成员单位工作职责</w:t>
      </w:r>
    </w:p>
    <w:p>
      <w:pPr>
        <w:spacing w:line="540" w:lineRule="exact"/>
        <w:ind w:firstLine="640" w:firstLineChars="200"/>
        <w:rPr>
          <w:rFonts w:ascii="仿宋_GB2312" w:eastAsia="仿宋_GB2312"/>
          <w:sz w:val="32"/>
          <w:szCs w:val="32"/>
        </w:rPr>
      </w:pPr>
    </w:p>
    <w:p>
      <w:pPr>
        <w:autoSpaceDE w:val="0"/>
        <w:autoSpaceDN w:val="0"/>
        <w:adjustRightIn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1.区经信委：制定《密云区清理整治违法违规排污及生产经营行为专项行动工作实施方案》，负责日常综合协调工作。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2.区环保局：建立污染突出类清理整治工作台账，牵头制定环境污染执法专项行动方案，开展环境污染执法专项行动，并将清理整治工作情况报领导小组办公室。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3.区工商分局：建立无证无照类清理整治工作台账，牵头制定整治无证无照违规经营专项行动方案，开展整治无证无照违规经营专项行动，并将清理整治工作情况报领导小组办公室。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4.区城管执法监察局：负责清理占路经营违法行为，配合相关部门严格执法。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5.区食药局：负责依法查处未经许可擅自从事药品、医疗器械、保健食品、餐饮经营活动的行为。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6.区质监局：负责依法查处未经许可擅自生产经营的行为。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7.区规划分局：建立违法建设类清理整治工作台账，牵头制定打击违法用地、违法建设专项行动方案，开展打击违法用地、违法建设专项行动，并将清理整治工作情况报领导小组办公室。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8.区国土分局：负责开展土地核查，依法清理违法违规占用土地行为；对清理腾退出的土地进行登记管理。</w:t>
      </w:r>
    </w:p>
    <w:p>
      <w:pPr>
        <w:spacing w:line="540" w:lineRule="exact"/>
        <w:rPr>
          <w:rFonts w:ascii="仿宋_GB2312" w:eastAsia="仿宋_GB2312"/>
          <w:sz w:val="32"/>
          <w:szCs w:val="32"/>
        </w:rPr>
      </w:pPr>
      <w:r>
        <w:rPr>
          <w:rFonts w:hint="eastAsia" w:ascii="仿宋_GB2312" w:eastAsia="仿宋_GB2312"/>
          <w:sz w:val="32"/>
          <w:szCs w:val="32"/>
        </w:rPr>
        <w:t xml:space="preserve">    9.区安监局：建立安全隐患类清理整治工作台账，牵头制定安全生产整治专项行动方案，开展安全生产整治专项行动，并将清理整治工作情况报领导小组办公室。</w:t>
      </w:r>
    </w:p>
    <w:p>
      <w:pPr>
        <w:numPr>
          <w:ilvl w:val="0"/>
          <w:numId w:val="1"/>
        </w:numPr>
        <w:spacing w:line="540" w:lineRule="exact"/>
        <w:ind w:firstLine="640" w:firstLineChars="200"/>
        <w:rPr>
          <w:rFonts w:ascii="仿宋_GB2312" w:eastAsia="仿宋_GB2312"/>
          <w:sz w:val="32"/>
          <w:szCs w:val="32"/>
        </w:rPr>
      </w:pPr>
      <w:r>
        <w:rPr>
          <w:rFonts w:hint="eastAsia" w:ascii="仿宋_GB2312" w:eastAsia="仿宋_GB2312"/>
          <w:sz w:val="32"/>
          <w:szCs w:val="32"/>
        </w:rPr>
        <w:t>区监察局：根据移送线索，对措施落实不力的单位及人员实施责任追究。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11.区政府督查室：负责督查责任落实，推动各项决策任务尽快落到实处，对措施落实不力的实施责任追究。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12.区公安分局：负责配合相关镇街（地区）、开发区做好清理整治过程中社会治安工作，维护社会稳定；加强消防安全检查，依法查处消防违法行为。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13.区住建委：负责依法查处违法建设行为。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14.区水务局：加强对企业新水使用、排水许可的统一监管，对未能按期整改的企业加大水务执法力度。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15.区国税局、地税局：对台账中涉及企业加大税收征管和偷税漏税核查力度。</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16.区供电公司、北京檀州自来水有限公司：对不按规定要求和时限整治清理的企业采取停水停电限制措施。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17.各镇街（地区）、经济开发区：积极配合相关部门对辖区内违法违规排污及生产经营行为企业巡查摸排，没有遗漏、不留死角，准确掌握辖区内违法违规排污及生产经营行为情况；做好相关企业宣传动员、政策宣讲工作；积极配合相关职能部门按照规定的时限和要求全力组织开展整治清理工作。</w:t>
      </w:r>
    </w:p>
    <w:p>
      <w:pPr>
        <w:spacing w:line="560" w:lineRule="exact"/>
        <w:rPr>
          <w:rFonts w:ascii="仿宋_GB2312" w:hAnsi="仿宋" w:eastAsia="仿宋_GB2312" w:cs="仿宋"/>
          <w:sz w:val="32"/>
          <w:szCs w:val="32"/>
        </w:rPr>
      </w:pPr>
    </w:p>
    <w:p>
      <w:pPr>
        <w:spacing w:line="560" w:lineRule="exact"/>
        <w:ind w:firstLine="4960" w:firstLineChars="1550"/>
        <w:rPr>
          <w:rFonts w:ascii="仿宋_GB2312" w:hAnsi="楷体" w:eastAsia="仿宋_GB2312"/>
          <w:sz w:val="32"/>
          <w:szCs w:val="32"/>
        </w:rPr>
        <w:sectPr>
          <w:footerReference r:id="rId3" w:type="default"/>
          <w:footerReference r:id="rId4" w:type="even"/>
          <w:pgSz w:w="11906" w:h="16838"/>
          <w:pgMar w:top="2098" w:right="1474" w:bottom="1985" w:left="1588" w:header="851" w:footer="992" w:gutter="0"/>
          <w:pgNumType w:fmt="numberInDash"/>
          <w:cols w:space="720" w:num="1"/>
          <w:titlePg/>
          <w:docGrid w:type="linesAndChar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26FE4"/>
    <w:multiLevelType w:val="singleLevel"/>
    <w:tmpl w:val="57626FE4"/>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916E6"/>
    <w:rsid w:val="63F916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2017-01-13T03:39:00Z</dcterms:created>
  <dc:creator>Mmf99</dc:creator>
  <cp:lastModifiedBy>Mmf99</cp:lastModifiedBy>
  <dcterms:modified xsi:type="dcterms:W3CDTF">2017-01-13T03:39:18Z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