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outlineLvl w:val="0"/>
        <w:rPr>
          <w:rFonts w:hint="eastAsia" w:ascii="仿宋_GB2312" w:eastAsia="仿宋_GB2312"/>
          <w:sz w:val="32"/>
          <w:szCs w:val="32"/>
        </w:rPr>
      </w:pPr>
      <w:r>
        <w:rPr>
          <w:rFonts w:hint="eastAsia" w:ascii="仿宋_GB2312" w:eastAsia="仿宋_GB2312"/>
          <w:sz w:val="32"/>
          <w:szCs w:val="32"/>
        </w:rPr>
        <w:t>附件2</w:t>
      </w:r>
    </w:p>
    <w:p>
      <w:pPr>
        <w:widowControl/>
        <w:spacing w:line="600" w:lineRule="exact"/>
        <w:outlineLvl w:val="0"/>
        <w:rPr>
          <w:rFonts w:hint="eastAsia" w:ascii="仿宋_GB2312" w:eastAsia="仿宋_GB2312"/>
          <w:sz w:val="32"/>
          <w:szCs w:val="32"/>
        </w:rPr>
      </w:pPr>
    </w:p>
    <w:p>
      <w:pPr>
        <w:widowControl/>
        <w:spacing w:line="600" w:lineRule="exact"/>
        <w:jc w:val="center"/>
        <w:outlineLvl w:val="0"/>
        <w:rPr>
          <w:rFonts w:eastAsia="方正小标宋简体"/>
          <w:sz w:val="44"/>
          <w:szCs w:val="44"/>
        </w:rPr>
      </w:pPr>
      <w:r>
        <w:rPr>
          <w:rFonts w:hint="eastAsia" w:eastAsia="方正小标宋简体"/>
          <w:sz w:val="44"/>
          <w:szCs w:val="44"/>
        </w:rPr>
        <w:t>北京经济技术开发区科技股权投资基金</w:t>
      </w:r>
    </w:p>
    <w:p>
      <w:pPr>
        <w:widowControl/>
        <w:spacing w:line="600" w:lineRule="exact"/>
        <w:jc w:val="center"/>
        <w:outlineLvl w:val="0"/>
        <w:rPr>
          <w:rFonts w:eastAsia="方正小标宋简体"/>
          <w:sz w:val="44"/>
          <w:szCs w:val="44"/>
        </w:rPr>
      </w:pPr>
      <w:r>
        <w:rPr>
          <w:rFonts w:hint="eastAsia" w:eastAsia="方正小标宋简体"/>
          <w:sz w:val="44"/>
          <w:szCs w:val="44"/>
        </w:rPr>
        <w:t>实施细则</w:t>
      </w:r>
    </w:p>
    <w:p>
      <w:pPr>
        <w:spacing w:line="600" w:lineRule="exact"/>
        <w:rPr>
          <w:rFonts w:ascii="仿宋_GB2312" w:eastAsia="仿宋_GB2312"/>
          <w:color w:val="000000"/>
          <w:sz w:val="32"/>
          <w:szCs w:val="32"/>
        </w:rPr>
      </w:pPr>
    </w:p>
    <w:p>
      <w:pPr>
        <w:spacing w:line="600" w:lineRule="exact"/>
        <w:jc w:val="center"/>
        <w:rPr>
          <w:rFonts w:ascii="黑体" w:eastAsia="黑体"/>
          <w:color w:val="000000"/>
          <w:sz w:val="32"/>
          <w:szCs w:val="32"/>
        </w:rPr>
      </w:pPr>
      <w:r>
        <w:rPr>
          <w:rFonts w:hint="eastAsia" w:ascii="黑体" w:eastAsia="黑体"/>
          <w:color w:val="000000"/>
          <w:sz w:val="32"/>
          <w:szCs w:val="32"/>
        </w:rPr>
        <w:t>第一章  总  则</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eastAsia="仿宋_GB2312"/>
          <w:sz w:val="32"/>
          <w:szCs w:val="32"/>
        </w:rPr>
        <w:t>为促进科技与金融相结合，引导社会资本和金融机构强化对高新技术产业、</w:t>
      </w:r>
      <w:r>
        <w:rPr>
          <w:rFonts w:hint="eastAsia" w:eastAsia="仿宋_GB2312"/>
          <w:sz w:val="32"/>
          <w:szCs w:val="32"/>
        </w:rPr>
        <w:t>科技型</w:t>
      </w:r>
      <w:r>
        <w:rPr>
          <w:rFonts w:eastAsia="仿宋_GB2312"/>
          <w:sz w:val="32"/>
          <w:szCs w:val="32"/>
        </w:rPr>
        <w:t>企业和科技研发、成果转化项目的支持，不断完善北京经济技术开发区</w:t>
      </w:r>
      <w:r>
        <w:rPr>
          <w:rFonts w:hint="eastAsia" w:eastAsia="仿宋_GB2312"/>
          <w:sz w:val="32"/>
          <w:szCs w:val="32"/>
        </w:rPr>
        <w:t>（</w:t>
      </w:r>
      <w:r>
        <w:rPr>
          <w:rFonts w:eastAsia="仿宋_GB2312"/>
          <w:sz w:val="32"/>
          <w:szCs w:val="32"/>
        </w:rPr>
        <w:t>以下简称</w:t>
      </w:r>
      <w:r>
        <w:rPr>
          <w:rFonts w:hint="eastAsia" w:eastAsia="仿宋_GB2312"/>
          <w:sz w:val="32"/>
          <w:szCs w:val="32"/>
        </w:rPr>
        <w:t>“</w:t>
      </w:r>
      <w:r>
        <w:rPr>
          <w:rFonts w:eastAsia="仿宋_GB2312"/>
          <w:sz w:val="32"/>
          <w:szCs w:val="32"/>
        </w:rPr>
        <w:t>开发区</w:t>
      </w:r>
      <w:r>
        <w:rPr>
          <w:rFonts w:hint="eastAsia" w:eastAsia="仿宋_GB2312"/>
          <w:sz w:val="32"/>
          <w:szCs w:val="32"/>
        </w:rPr>
        <w:t>”）</w:t>
      </w:r>
      <w:r>
        <w:rPr>
          <w:rFonts w:eastAsia="仿宋_GB2312"/>
          <w:sz w:val="32"/>
          <w:szCs w:val="32"/>
        </w:rPr>
        <w:t>投融资体系与科技</w:t>
      </w:r>
      <w:r>
        <w:rPr>
          <w:rFonts w:hint="eastAsia" w:eastAsia="仿宋_GB2312"/>
          <w:sz w:val="32"/>
          <w:szCs w:val="32"/>
        </w:rPr>
        <w:t>创新</w:t>
      </w:r>
      <w:r>
        <w:rPr>
          <w:rFonts w:eastAsia="仿宋_GB2312"/>
          <w:sz w:val="32"/>
          <w:szCs w:val="32"/>
        </w:rPr>
        <w:t>服务体系，开发区设立</w:t>
      </w:r>
      <w:r>
        <w:rPr>
          <w:rFonts w:hint="eastAsia" w:eastAsia="仿宋_GB2312"/>
          <w:sz w:val="32"/>
          <w:szCs w:val="32"/>
        </w:rPr>
        <w:t>北京经济技术开发区科技股权投资基金（以下简称“股权投资基金”）。根据《国务院印发关于深化中央财政科技计划（专项、基金等）管理改革方案》（国发〔2014〕64号）、《关于进一步创新体制机制加快全国科技创新中心建设的意见》（京发〔2014〕17号）</w:t>
      </w:r>
      <w:r>
        <w:rPr>
          <w:rFonts w:hint="eastAsia" w:ascii="仿宋_GB2312" w:eastAsia="仿宋_GB2312"/>
          <w:color w:val="000000"/>
          <w:sz w:val="32"/>
          <w:szCs w:val="32"/>
        </w:rPr>
        <w:t>，</w:t>
      </w:r>
      <w:r>
        <w:rPr>
          <w:rFonts w:hint="eastAsia" w:eastAsia="仿宋_GB2312"/>
          <w:sz w:val="32"/>
          <w:szCs w:val="32"/>
        </w:rPr>
        <w:t>制定《北京经济技术开发区科技股权投资基金实施细则》</w:t>
      </w:r>
      <w:r>
        <w:rPr>
          <w:rFonts w:eastAsia="仿宋_GB2312"/>
          <w:sz w:val="32"/>
          <w:szCs w:val="32"/>
        </w:rPr>
        <w:t>（以下简称“本实施细则”）</w:t>
      </w:r>
      <w:r>
        <w:rPr>
          <w:rFonts w:hint="eastAsia" w:ascii="仿宋_GB2312" w:eastAsia="仿宋_GB2312"/>
          <w:color w:val="000000"/>
          <w:sz w:val="32"/>
          <w:szCs w:val="32"/>
        </w:rPr>
        <w:t>。</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eastAsia="仿宋_GB2312"/>
          <w:sz w:val="32"/>
          <w:szCs w:val="32"/>
        </w:rPr>
        <w:t>股权投资基金可采用股权投资、债权投资、知识产权共享等方式投资于符合开发区定位和相关产业政策、产业投资导向的科技型、创新型企业。</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eastAsia="仿宋_GB2312"/>
          <w:sz w:val="32"/>
          <w:szCs w:val="32"/>
        </w:rPr>
        <w:t>开发区管理委员会（以下简称“开发区管委会”）负责股权投资基金重大事项的决策；开发区科技局负责股权投资基金监督和管理；开发区财政局负责股权投资基金资金的拨付。股权投资基金</w:t>
      </w:r>
      <w:r>
        <w:rPr>
          <w:rFonts w:hint="eastAsia" w:ascii="仿宋_GB2312" w:eastAsia="仿宋_GB2312"/>
          <w:color w:val="000000"/>
          <w:sz w:val="32"/>
          <w:szCs w:val="32"/>
        </w:rPr>
        <w:t>委托北京亦庄国际投资发展有限公司（以下简称“亦庄国投”）作为名义出资代表，北京亦庄国际产业投资管理有限公司（以下简称“亦庄产投”）作为基金受托管理机构。</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ascii="仿宋_GB2312" w:eastAsia="仿宋_GB2312"/>
          <w:color w:val="000000"/>
          <w:sz w:val="32"/>
          <w:szCs w:val="32"/>
        </w:rPr>
        <w:t>股权投资基金资金主要来源于</w:t>
      </w:r>
      <w:r>
        <w:rPr>
          <w:rFonts w:hint="eastAsia" w:eastAsia="仿宋_GB2312"/>
          <w:sz w:val="32"/>
          <w:szCs w:val="32"/>
        </w:rPr>
        <w:t>开发区财政资金</w:t>
      </w:r>
      <w:r>
        <w:rPr>
          <w:rFonts w:hint="eastAsia" w:ascii="仿宋_GB2312" w:eastAsia="仿宋_GB2312"/>
          <w:color w:val="000000"/>
          <w:sz w:val="32"/>
          <w:szCs w:val="32"/>
        </w:rPr>
        <w:t>、股权投资基金收益和其他社会资金等。</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ascii="仿宋_GB2312" w:eastAsia="仿宋_GB2312"/>
          <w:color w:val="000000"/>
          <w:sz w:val="32"/>
          <w:szCs w:val="32"/>
        </w:rPr>
        <w:t>股权投资基金总规</w:t>
      </w:r>
      <w:r>
        <w:rPr>
          <w:rFonts w:ascii="仿宋_GB2312" w:eastAsia="仿宋_GB2312"/>
          <w:sz w:val="32"/>
          <w:szCs w:val="32"/>
        </w:rPr>
        <w:t>模</w:t>
      </w:r>
      <w:r>
        <w:rPr>
          <w:rFonts w:hint="eastAsia" w:ascii="仿宋_GB2312" w:eastAsia="仿宋_GB2312"/>
          <w:sz w:val="32"/>
          <w:szCs w:val="32"/>
        </w:rPr>
        <w:t>2</w:t>
      </w:r>
      <w:r>
        <w:rPr>
          <w:rFonts w:ascii="仿宋_GB2312" w:eastAsia="仿宋_GB2312"/>
          <w:sz w:val="32"/>
          <w:szCs w:val="32"/>
        </w:rPr>
        <w:t>.</w:t>
      </w:r>
      <w:r>
        <w:rPr>
          <w:rFonts w:ascii="仿宋_GB2312" w:eastAsia="仿宋_GB2312"/>
          <w:color w:val="000000"/>
          <w:sz w:val="32"/>
          <w:szCs w:val="32"/>
        </w:rPr>
        <w:t>5亿元</w:t>
      </w:r>
      <w:r>
        <w:rPr>
          <w:rFonts w:hint="eastAsia" w:ascii="仿宋_GB2312" w:eastAsia="仿宋_GB2312"/>
          <w:color w:val="000000"/>
          <w:sz w:val="32"/>
          <w:szCs w:val="32"/>
        </w:rPr>
        <w:t>，连续5年</w:t>
      </w:r>
      <w:r>
        <w:rPr>
          <w:rFonts w:ascii="仿宋_GB2312" w:eastAsia="仿宋_GB2312"/>
          <w:color w:val="000000"/>
          <w:sz w:val="32"/>
          <w:szCs w:val="32"/>
        </w:rPr>
        <w:t>每年出资</w:t>
      </w:r>
      <w:r>
        <w:rPr>
          <w:rFonts w:hint="eastAsia" w:ascii="仿宋_GB2312" w:eastAsia="仿宋_GB2312"/>
          <w:color w:val="000000"/>
          <w:sz w:val="32"/>
          <w:szCs w:val="32"/>
        </w:rPr>
        <w:t>500</w:t>
      </w:r>
      <w:r>
        <w:rPr>
          <w:rFonts w:ascii="仿宋_GB2312" w:eastAsia="仿宋_GB2312"/>
          <w:color w:val="000000"/>
          <w:sz w:val="32"/>
          <w:szCs w:val="32"/>
        </w:rPr>
        <w:t>0万元</w:t>
      </w:r>
      <w:r>
        <w:rPr>
          <w:rFonts w:hint="eastAsia" w:ascii="仿宋_GB2312" w:eastAsia="仿宋_GB2312"/>
          <w:color w:val="000000"/>
          <w:sz w:val="32"/>
          <w:szCs w:val="32"/>
        </w:rPr>
        <w:t>。</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ascii="仿宋_GB2312" w:eastAsia="仿宋_GB2312"/>
          <w:color w:val="000000"/>
          <w:sz w:val="32"/>
          <w:szCs w:val="32"/>
        </w:rPr>
        <w:t>股权投资基金管理和资金使用必须遵守有关法律、法规和财务会计制度的规定。</w:t>
      </w:r>
    </w:p>
    <w:p>
      <w:pPr>
        <w:spacing w:line="600" w:lineRule="exact"/>
        <w:jc w:val="center"/>
        <w:rPr>
          <w:rFonts w:ascii="黑体" w:eastAsia="黑体"/>
          <w:color w:val="000000"/>
          <w:sz w:val="32"/>
          <w:szCs w:val="32"/>
        </w:rPr>
      </w:pPr>
      <w:r>
        <w:rPr>
          <w:rFonts w:hint="eastAsia" w:ascii="黑体" w:eastAsia="黑体"/>
          <w:color w:val="000000"/>
          <w:sz w:val="32"/>
          <w:szCs w:val="32"/>
        </w:rPr>
        <w:t>第二章  投资领域和方向</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ascii="仿宋_GB2312" w:eastAsia="仿宋_GB2312"/>
          <w:color w:val="000000"/>
          <w:sz w:val="32"/>
          <w:szCs w:val="32"/>
        </w:rPr>
        <w:t>股权投资基金遵循“政府出资、市场</w:t>
      </w:r>
      <w:r>
        <w:rPr>
          <w:rFonts w:hint="eastAsia" w:ascii="仿宋_GB2312" w:hAnsi="宋体" w:eastAsia="仿宋_GB2312"/>
          <w:bCs/>
          <w:color w:val="000000"/>
          <w:sz w:val="32"/>
          <w:szCs w:val="32"/>
        </w:rPr>
        <w:t>运作、非营利性、参股不控股、适时保本退出”的原则，重点投资于</w:t>
      </w:r>
      <w:r>
        <w:rPr>
          <w:rFonts w:hint="eastAsia" w:eastAsia="仿宋_GB2312"/>
          <w:sz w:val="32"/>
          <w:szCs w:val="32"/>
        </w:rPr>
        <w:t>符合</w:t>
      </w:r>
      <w:r>
        <w:rPr>
          <w:rFonts w:hint="eastAsia" w:ascii="仿宋_GB2312" w:eastAsia="仿宋_GB2312"/>
          <w:color w:val="000000"/>
          <w:sz w:val="32"/>
          <w:szCs w:val="32"/>
        </w:rPr>
        <w:t>开发区</w:t>
      </w:r>
      <w:r>
        <w:rPr>
          <w:rFonts w:hint="eastAsia" w:eastAsia="仿宋_GB2312"/>
          <w:sz w:val="32"/>
          <w:szCs w:val="32"/>
        </w:rPr>
        <w:t>定位和相关产业政策、产业投资导向的科技型、创新型企业</w:t>
      </w:r>
      <w:r>
        <w:rPr>
          <w:rFonts w:hint="eastAsia" w:ascii="仿宋_GB2312" w:hAnsi="宋体" w:eastAsia="仿宋_GB2312"/>
          <w:bCs/>
          <w:color w:val="000000"/>
          <w:sz w:val="32"/>
          <w:szCs w:val="32"/>
        </w:rPr>
        <w:t>。</w:t>
      </w:r>
    </w:p>
    <w:p>
      <w:pPr>
        <w:numPr>
          <w:ilvl w:val="0"/>
          <w:numId w:val="1"/>
        </w:numPr>
        <w:tabs>
          <w:tab w:val="left" w:pos="0"/>
          <w:tab w:val="left" w:pos="1430"/>
          <w:tab w:val="left" w:pos="1980"/>
          <w:tab w:val="clear" w:pos="1800"/>
        </w:tabs>
        <w:spacing w:line="600" w:lineRule="exact"/>
        <w:ind w:left="0" w:firstLine="720"/>
        <w:rPr>
          <w:rFonts w:ascii="仿宋_GB2312" w:hAnsi="宋体" w:eastAsia="仿宋_GB2312"/>
          <w:bCs/>
          <w:color w:val="000000"/>
          <w:sz w:val="32"/>
          <w:szCs w:val="32"/>
        </w:rPr>
      </w:pPr>
      <w:r>
        <w:rPr>
          <w:rFonts w:hint="eastAsia" w:ascii="仿宋_GB2312" w:hAnsi="宋体" w:eastAsia="仿宋_GB2312"/>
          <w:bCs/>
          <w:color w:val="000000"/>
          <w:sz w:val="32"/>
          <w:szCs w:val="32"/>
        </w:rPr>
        <w:t>申请股权投资基金的项目原则上应符合以下条件：</w:t>
      </w:r>
    </w:p>
    <w:p>
      <w:pPr>
        <w:numPr>
          <w:ilvl w:val="0"/>
          <w:numId w:val="0"/>
        </w:numPr>
        <w:tabs>
          <w:tab w:val="left" w:pos="0"/>
        </w:tabs>
        <w:spacing w:line="600" w:lineRule="exact"/>
        <w:rPr>
          <w:rFonts w:ascii="仿宋_GB2312" w:hAnsi="宋体" w:eastAsia="仿宋_GB2312"/>
          <w:bCs/>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w:t>
      </w:r>
      <w:r>
        <w:rPr>
          <w:rFonts w:hint="eastAsia" w:ascii="仿宋_GB2312" w:hAnsi="宋体" w:eastAsia="仿宋_GB2312"/>
          <w:bCs/>
          <w:color w:val="000000"/>
          <w:sz w:val="32"/>
          <w:szCs w:val="32"/>
        </w:rPr>
        <w:t>符合</w:t>
      </w:r>
      <w:r>
        <w:rPr>
          <w:rFonts w:hint="eastAsia" w:ascii="仿宋_GB2312" w:eastAsia="仿宋_GB2312"/>
          <w:color w:val="000000"/>
          <w:sz w:val="32"/>
          <w:szCs w:val="32"/>
        </w:rPr>
        <w:t>开发区</w:t>
      </w:r>
      <w:r>
        <w:rPr>
          <w:rFonts w:hint="eastAsia" w:ascii="仿宋_GB2312" w:hAnsi="宋体" w:eastAsia="仿宋_GB2312"/>
          <w:bCs/>
          <w:color w:val="000000"/>
          <w:sz w:val="32"/>
          <w:szCs w:val="32"/>
        </w:rPr>
        <w:t>重点支持的产业发展方向，具有良好的社会效益。</w:t>
      </w:r>
    </w:p>
    <w:p>
      <w:pPr>
        <w:numPr>
          <w:ilvl w:val="0"/>
          <w:numId w:val="0"/>
        </w:numPr>
        <w:tabs>
          <w:tab w:val="left" w:pos="0"/>
        </w:tabs>
        <w:spacing w:line="600" w:lineRule="exact"/>
        <w:rPr>
          <w:rFonts w:ascii="仿宋_GB2312" w:eastAsia="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w:t>
      </w:r>
      <w:r>
        <w:rPr>
          <w:rFonts w:hint="eastAsia" w:ascii="仿宋_GB2312" w:hAnsi="宋体" w:eastAsia="仿宋_GB2312"/>
          <w:bCs/>
          <w:color w:val="000000"/>
          <w:sz w:val="32"/>
          <w:szCs w:val="32"/>
        </w:rPr>
        <w:t>项目实施</w:t>
      </w:r>
      <w:r>
        <w:rPr>
          <w:rFonts w:ascii="仿宋_GB2312" w:hAnsi="宋体" w:eastAsia="仿宋_GB2312"/>
          <w:bCs/>
          <w:color w:val="000000"/>
          <w:sz w:val="32"/>
          <w:szCs w:val="32"/>
        </w:rPr>
        <w:t>企业</w:t>
      </w:r>
      <w:r>
        <w:rPr>
          <w:rFonts w:hint="eastAsia" w:ascii="仿宋_GB2312" w:hAnsi="宋体" w:eastAsia="仿宋_GB2312"/>
          <w:bCs/>
          <w:color w:val="000000"/>
          <w:sz w:val="32"/>
          <w:szCs w:val="32"/>
        </w:rPr>
        <w:t>为拥有核心技术或知识产权的科技型、创新型企业，且原则上至少应满足以下条件之一：成</w:t>
      </w:r>
      <w:r>
        <w:rPr>
          <w:rFonts w:hint="eastAsia" w:ascii="仿宋_GB2312" w:eastAsia="仿宋_GB2312"/>
          <w:color w:val="000000"/>
          <w:sz w:val="32"/>
          <w:szCs w:val="32"/>
        </w:rPr>
        <w:t>立时间不超过5年；</w:t>
      </w:r>
      <w:r>
        <w:rPr>
          <w:rFonts w:hint="eastAsia" w:ascii="仿宋_GB2312" w:eastAsia="仿宋_GB2312"/>
          <w:sz w:val="32"/>
          <w:szCs w:val="32"/>
        </w:rPr>
        <w:t>资产总额</w:t>
      </w:r>
      <w:r>
        <w:rPr>
          <w:rFonts w:hint="eastAsia" w:ascii="仿宋_GB2312" w:eastAsia="仿宋_GB2312"/>
          <w:color w:val="000000"/>
          <w:sz w:val="32"/>
          <w:szCs w:val="32"/>
        </w:rPr>
        <w:t>不超过3000万元人民币；年销售额或营业额不超过3000万元人民币；职工人数不超过300人；直接从事研究开发的科技人员占职工总数的20%以上。</w:t>
      </w:r>
      <w:r>
        <w:rPr>
          <w:rFonts w:hint="eastAsia" w:ascii="仿宋_GB2312" w:eastAsia="仿宋_GB2312"/>
          <w:sz w:val="32"/>
          <w:szCs w:val="32"/>
        </w:rPr>
        <w:t>对于创新性、产业带</w:t>
      </w:r>
      <w:r>
        <w:rPr>
          <w:rFonts w:hint="eastAsia" w:ascii="仿宋_GB2312" w:eastAsia="仿宋_GB2312"/>
          <w:color w:val="000000"/>
          <w:sz w:val="32"/>
          <w:szCs w:val="32"/>
        </w:rPr>
        <w:t>动性和示范效应较强的重点项目的实施企业，可适当突破上述条件限制。</w:t>
      </w:r>
    </w:p>
    <w:p>
      <w:pPr>
        <w:numPr>
          <w:ilvl w:val="0"/>
          <w:numId w:val="0"/>
        </w:numPr>
        <w:tabs>
          <w:tab w:val="left" w:pos="0"/>
        </w:tabs>
        <w:spacing w:line="600" w:lineRule="exact"/>
        <w:rPr>
          <w:rFonts w:ascii="仿宋_GB2312" w:hAnsi="宋体" w:eastAsia="仿宋_GB2312"/>
          <w:bCs/>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w:t>
      </w:r>
      <w:r>
        <w:rPr>
          <w:rFonts w:hint="eastAsia" w:ascii="仿宋_GB2312" w:eastAsia="仿宋_GB2312"/>
          <w:color w:val="000000"/>
          <w:sz w:val="32"/>
          <w:szCs w:val="32"/>
        </w:rPr>
        <w:t>项目</w:t>
      </w:r>
      <w:r>
        <w:rPr>
          <w:rFonts w:ascii="仿宋_GB2312" w:eastAsia="仿宋_GB2312"/>
          <w:color w:val="000000"/>
          <w:sz w:val="32"/>
          <w:szCs w:val="32"/>
        </w:rPr>
        <w:t>实施企业</w:t>
      </w:r>
      <w:r>
        <w:rPr>
          <w:rFonts w:hint="eastAsia" w:ascii="仿宋_GB2312" w:eastAsia="仿宋_GB2312"/>
          <w:color w:val="000000"/>
          <w:sz w:val="32"/>
          <w:szCs w:val="32"/>
        </w:rPr>
        <w:t>须</w:t>
      </w:r>
      <w:r>
        <w:rPr>
          <w:rFonts w:hint="eastAsia" w:ascii="仿宋_GB2312" w:hAnsi="宋体" w:eastAsia="仿宋_GB2312"/>
          <w:bCs/>
          <w:color w:val="000000"/>
          <w:sz w:val="32"/>
          <w:szCs w:val="32"/>
        </w:rPr>
        <w:t>为公司制法人，在</w:t>
      </w:r>
      <w:r>
        <w:rPr>
          <w:rFonts w:hint="eastAsia" w:ascii="仿宋_GB2312" w:eastAsia="仿宋_GB2312"/>
          <w:color w:val="000000"/>
          <w:sz w:val="32"/>
          <w:szCs w:val="32"/>
        </w:rPr>
        <w:t>开发区</w:t>
      </w:r>
      <w:r>
        <w:rPr>
          <w:rFonts w:hint="eastAsia" w:ascii="仿宋_GB2312" w:hAnsi="宋体" w:eastAsia="仿宋_GB2312"/>
          <w:bCs/>
          <w:color w:val="000000"/>
          <w:sz w:val="32"/>
          <w:szCs w:val="32"/>
        </w:rPr>
        <w:t>办理工商注册和税务登记，且承诺在获得投资后约定期限内不迁离</w:t>
      </w:r>
      <w:r>
        <w:rPr>
          <w:rFonts w:hint="eastAsia" w:ascii="仿宋_GB2312" w:eastAsia="仿宋_GB2312"/>
          <w:color w:val="000000"/>
          <w:sz w:val="32"/>
          <w:szCs w:val="32"/>
        </w:rPr>
        <w:t>开发区</w:t>
      </w:r>
      <w:r>
        <w:rPr>
          <w:rFonts w:hint="eastAsia" w:ascii="仿宋_GB2312" w:hAnsi="宋体" w:eastAsia="仿宋_GB2312"/>
          <w:bCs/>
          <w:color w:val="000000"/>
          <w:sz w:val="32"/>
          <w:szCs w:val="32"/>
        </w:rPr>
        <w:t>。</w:t>
      </w:r>
    </w:p>
    <w:p>
      <w:pPr>
        <w:spacing w:line="600" w:lineRule="exact"/>
        <w:jc w:val="center"/>
        <w:rPr>
          <w:rFonts w:ascii="黑体" w:eastAsia="黑体"/>
          <w:color w:val="000000"/>
          <w:sz w:val="32"/>
          <w:szCs w:val="32"/>
        </w:rPr>
      </w:pPr>
      <w:r>
        <w:rPr>
          <w:rFonts w:hint="eastAsia" w:ascii="黑体" w:eastAsia="黑体"/>
          <w:color w:val="000000"/>
          <w:sz w:val="32"/>
          <w:szCs w:val="32"/>
        </w:rPr>
        <w:t>第三章  决策流程</w:t>
      </w:r>
    </w:p>
    <w:p>
      <w:pPr>
        <w:numPr>
          <w:ilvl w:val="0"/>
          <w:numId w:val="1"/>
        </w:numPr>
        <w:tabs>
          <w:tab w:val="left" w:pos="0"/>
          <w:tab w:val="left" w:pos="1430"/>
          <w:tab w:val="left" w:pos="1980"/>
          <w:tab w:val="clear" w:pos="1800"/>
        </w:tabs>
        <w:spacing w:line="600" w:lineRule="exact"/>
        <w:ind w:left="0" w:firstLine="640"/>
        <w:rPr>
          <w:rFonts w:ascii="仿宋_GB2312" w:eastAsia="仿宋_GB2312"/>
          <w:color w:val="000000"/>
          <w:sz w:val="32"/>
          <w:szCs w:val="32"/>
        </w:rPr>
      </w:pPr>
      <w:r>
        <w:rPr>
          <w:rFonts w:hint="eastAsia" w:eastAsia="仿宋_GB2312"/>
          <w:sz w:val="32"/>
          <w:szCs w:val="32"/>
        </w:rPr>
        <w:t>股权投资基金的评审决策程序如下：</w:t>
      </w:r>
    </w:p>
    <w:p>
      <w:pPr>
        <w:tabs>
          <w:tab w:val="left" w:pos="1800"/>
          <w:tab w:val="left" w:pos="1980"/>
        </w:tabs>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（一）项目申报。符合支持条件的企业可直接向</w:t>
      </w:r>
      <w:r>
        <w:rPr>
          <w:rFonts w:hint="eastAsia" w:ascii="仿宋_GB2312" w:hAnsi="仿宋_GB2312" w:eastAsia="仿宋_GB2312" w:cs="仿宋_GB2312"/>
          <w:sz w:val="32"/>
          <w:szCs w:val="32"/>
        </w:rPr>
        <w:t>基金受托管理机构提出投资申请，并提交</w:t>
      </w:r>
      <w:r>
        <w:rPr>
          <w:rFonts w:hint="eastAsia" w:ascii="仿宋_GB2312" w:hAnsi="仿宋_GB2312" w:eastAsia="仿宋_GB2312" w:cs="仿宋_GB2312"/>
          <w:color w:val="000000"/>
          <w:sz w:val="32"/>
          <w:szCs w:val="32"/>
        </w:rPr>
        <w:t>相关申请材料。</w:t>
      </w:r>
    </w:p>
    <w:p>
      <w:pPr>
        <w:tabs>
          <w:tab w:val="left" w:pos="1800"/>
          <w:tab w:val="left" w:pos="1980"/>
        </w:tabs>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（二）材料初审。由基金受托管理机构负责受理企业的申报资料，同时对申报资料进行审查。</w:t>
      </w:r>
    </w:p>
    <w:p>
      <w:pPr>
        <w:tabs>
          <w:tab w:val="left" w:pos="1800"/>
          <w:tab w:val="left" w:pos="1980"/>
        </w:tabs>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专家评审。由基金受托管理机构组织专家建立专家评审委员会对项目进行评审，形成初步投资建议。专家评审委员会设置5席委员，其中开发区科技局、开发区财政局代表2席、亦庄产投代表1席、外部专家代表2席。</w:t>
      </w:r>
    </w:p>
    <w:p>
      <w:pPr>
        <w:tabs>
          <w:tab w:val="left" w:pos="1800"/>
          <w:tab w:val="left" w:pos="1980"/>
        </w:tabs>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（四）投资方案。基金受托管理机构根据专家评审形成的初步投资建议出具初步投资方案。</w:t>
      </w:r>
    </w:p>
    <w:p>
      <w:pPr>
        <w:tabs>
          <w:tab w:val="left" w:pos="1800"/>
          <w:tab w:val="left" w:pos="1980"/>
        </w:tabs>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（五）开发区管委会审定。开发区管委会对基金受托管理机构提交的初步投资方案进行审定，并出具会议纪要。</w:t>
      </w:r>
    </w:p>
    <w:p>
      <w:pPr>
        <w:tabs>
          <w:tab w:val="left" w:pos="1800"/>
          <w:tab w:val="left" w:pos="1980"/>
        </w:tabs>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（六）方案实施。由基金受托管理机构组织实施审定通过的投资方案，包括协议谈判及签署、完成出资等。</w:t>
      </w:r>
    </w:p>
    <w:p>
      <w:pPr>
        <w:spacing w:line="600" w:lineRule="exact"/>
        <w:jc w:val="center"/>
        <w:rPr>
          <w:rFonts w:ascii="黑体" w:eastAsia="黑体"/>
          <w:color w:val="000000"/>
          <w:sz w:val="32"/>
          <w:szCs w:val="32"/>
        </w:rPr>
      </w:pPr>
      <w:r>
        <w:rPr>
          <w:rFonts w:hint="eastAsia" w:ascii="黑体" w:eastAsia="黑体"/>
          <w:color w:val="000000"/>
          <w:sz w:val="32"/>
          <w:szCs w:val="32"/>
        </w:rPr>
        <w:t>第四章  退出方式</w:t>
      </w:r>
    </w:p>
    <w:p>
      <w:pPr>
        <w:numPr>
          <w:ilvl w:val="0"/>
          <w:numId w:val="1"/>
        </w:numPr>
        <w:tabs>
          <w:tab w:val="left" w:pos="0"/>
          <w:tab w:val="left" w:pos="1430"/>
          <w:tab w:val="left" w:pos="1980"/>
          <w:tab w:val="clear" w:pos="1800"/>
        </w:tabs>
        <w:spacing w:line="600" w:lineRule="exact"/>
        <w:ind w:left="0" w:firstLine="640" w:firstLineChars="200"/>
        <w:rPr>
          <w:rFonts w:eastAsia="仿宋_GB2312"/>
          <w:sz w:val="32"/>
          <w:szCs w:val="32"/>
        </w:rPr>
      </w:pPr>
      <w:r>
        <w:rPr>
          <w:rFonts w:hint="eastAsia" w:ascii="仿宋_GB2312" w:eastAsia="仿宋_GB2312"/>
          <w:color w:val="000000"/>
          <w:sz w:val="32"/>
          <w:szCs w:val="32"/>
        </w:rPr>
        <w:t>股权投资基金在稳定运营后，可通过下列途径完成退出，以实现资金的良性循环：被投资</w:t>
      </w:r>
      <w:r>
        <w:rPr>
          <w:rFonts w:ascii="仿宋_GB2312" w:eastAsia="仿宋_GB2312"/>
          <w:color w:val="000000"/>
          <w:sz w:val="32"/>
          <w:szCs w:val="32"/>
        </w:rPr>
        <w:t>企业还款</w:t>
      </w:r>
      <w:r>
        <w:rPr>
          <w:rFonts w:hint="eastAsia" w:ascii="仿宋_GB2312" w:eastAsia="仿宋_GB2312"/>
          <w:color w:val="000000"/>
          <w:sz w:val="32"/>
          <w:szCs w:val="32"/>
        </w:rPr>
        <w:t>；上市退出或</w:t>
      </w:r>
      <w:r>
        <w:rPr>
          <w:rFonts w:hint="eastAsia" w:eastAsia="仿宋_GB2312"/>
          <w:sz w:val="32"/>
          <w:szCs w:val="32"/>
        </w:rPr>
        <w:t>将股权转让；</w:t>
      </w:r>
      <w:r>
        <w:rPr>
          <w:rFonts w:hint="eastAsia" w:ascii="仿宋_GB2312" w:eastAsia="仿宋_GB2312"/>
          <w:color w:val="000000"/>
          <w:sz w:val="32"/>
          <w:szCs w:val="32"/>
        </w:rPr>
        <w:t>股东回购；破产清算退出。</w:t>
      </w:r>
    </w:p>
    <w:p>
      <w:pPr>
        <w:numPr>
          <w:ilvl w:val="0"/>
          <w:numId w:val="1"/>
        </w:numPr>
        <w:tabs>
          <w:tab w:val="left" w:pos="0"/>
          <w:tab w:val="left" w:pos="1430"/>
          <w:tab w:val="left" w:pos="1980"/>
          <w:tab w:val="clear" w:pos="1800"/>
        </w:tabs>
        <w:spacing w:line="600" w:lineRule="exact"/>
        <w:ind w:left="0" w:firstLine="640" w:firstLineChars="200"/>
        <w:rPr>
          <w:rFonts w:eastAsia="仿宋_GB2312"/>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根据《关于完善投融资体系促进产业发展的管理办法》中关于开发区基金退出方式的要求，股权投资基金在被投资企业获得支持1年（含）内退出，退出价格参照股权投资基金原始投资额与按照退出时中国人民银行公布的同期存款利率计算的收益之和；股权投资基金在被投资企业获得支持1-5年（含）内退出，退出价格参照股权投资基金原始投资额与按照退出时中国人民银行公布的同期贷款利率计算的收益之和</w:t>
      </w:r>
      <w:r>
        <w:rPr>
          <w:rFonts w:hint="eastAsia" w:eastAsia="仿宋_GB2312"/>
          <w:sz w:val="32"/>
          <w:szCs w:val="32"/>
        </w:rPr>
        <w:t>。股权投资基金支持项目原则上采用上述方式退出，若股权投资基金与</w:t>
      </w:r>
      <w:r>
        <w:rPr>
          <w:rFonts w:hint="eastAsia" w:ascii="仿宋_GB2312" w:eastAsia="仿宋_GB2312"/>
          <w:color w:val="000000"/>
          <w:sz w:val="32"/>
          <w:szCs w:val="32"/>
        </w:rPr>
        <w:t>被投资</w:t>
      </w:r>
      <w:r>
        <w:rPr>
          <w:rFonts w:hint="eastAsia" w:eastAsia="仿宋_GB2312"/>
          <w:sz w:val="32"/>
          <w:szCs w:val="32"/>
        </w:rPr>
        <w:t>企业约定其他退出方式的，经开发区管委会审议通过，从其约定。</w:t>
      </w:r>
    </w:p>
    <w:p>
      <w:pPr>
        <w:numPr>
          <w:ilvl w:val="0"/>
          <w:numId w:val="1"/>
        </w:numPr>
        <w:tabs>
          <w:tab w:val="left" w:pos="0"/>
          <w:tab w:val="left" w:pos="1430"/>
          <w:tab w:val="left" w:pos="1980"/>
          <w:tab w:val="clear" w:pos="1800"/>
        </w:tabs>
        <w:spacing w:line="600" w:lineRule="exact"/>
        <w:ind w:left="0" w:firstLine="640"/>
        <w:rPr>
          <w:rFonts w:eastAsia="仿宋_GB2312"/>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若被投资企业发生</w:t>
      </w:r>
      <w:r>
        <w:rPr>
          <w:rFonts w:ascii="仿宋_GB2312" w:eastAsia="仿宋_GB2312"/>
          <w:color w:val="000000"/>
          <w:sz w:val="32"/>
          <w:szCs w:val="32"/>
        </w:rPr>
        <w:t>清算，视投资方式按照法律程序执行清算</w:t>
      </w:r>
      <w:r>
        <w:rPr>
          <w:rFonts w:hint="eastAsia" w:eastAsia="仿宋_GB2312"/>
          <w:sz w:val="32"/>
          <w:szCs w:val="32"/>
        </w:rPr>
        <w:t>。</w:t>
      </w:r>
    </w:p>
    <w:p>
      <w:pPr>
        <w:spacing w:line="600" w:lineRule="exact"/>
        <w:jc w:val="center"/>
        <w:rPr>
          <w:rFonts w:ascii="黑体" w:eastAsia="黑体"/>
          <w:color w:val="000000"/>
          <w:sz w:val="32"/>
          <w:szCs w:val="32"/>
        </w:rPr>
      </w:pPr>
      <w:r>
        <w:rPr>
          <w:rFonts w:hint="eastAsia" w:ascii="黑体" w:eastAsia="黑体"/>
          <w:color w:val="000000"/>
          <w:sz w:val="32"/>
          <w:szCs w:val="32"/>
        </w:rPr>
        <w:t>第五章  基金管理</w:t>
      </w:r>
    </w:p>
    <w:p>
      <w:pPr>
        <w:numPr>
          <w:ilvl w:val="0"/>
          <w:numId w:val="1"/>
        </w:numPr>
        <w:tabs>
          <w:tab w:val="left" w:pos="0"/>
          <w:tab w:val="left" w:pos="1430"/>
          <w:tab w:val="left" w:pos="1980"/>
          <w:tab w:val="clear" w:pos="1800"/>
        </w:tabs>
        <w:spacing w:line="600" w:lineRule="exact"/>
        <w:ind w:left="0" w:firstLine="64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开发区科技局负责股权投资基金重大事项的监督和管理，履行下列职责：</w:t>
      </w:r>
    </w:p>
    <w:p>
      <w:pPr>
        <w:pStyle w:val="2"/>
        <w:snapToGrid w:val="0"/>
        <w:spacing w:before="0" w:beforeAutospacing="0" w:after="0" w:afterAutospacing="0" w:line="600" w:lineRule="exact"/>
        <w:jc w:val="both"/>
        <w:rPr>
          <w:rFonts w:ascii="Times New Roman" w:hAnsi="Times New Roman"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（一）</w:t>
      </w:r>
      <w:r>
        <w:rPr>
          <w:rFonts w:ascii="Times New Roman" w:hAnsi="Times New Roman" w:eastAsia="仿宋_GB2312"/>
          <w:sz w:val="32"/>
          <w:szCs w:val="32"/>
        </w:rPr>
        <w:t>制定股权投资基金项目评审规则和流程；</w:t>
      </w:r>
    </w:p>
    <w:p>
      <w:pPr>
        <w:pStyle w:val="2"/>
        <w:snapToGrid w:val="0"/>
        <w:spacing w:before="0" w:beforeAutospacing="0" w:after="0" w:afterAutospacing="0" w:line="600" w:lineRule="exact"/>
        <w:jc w:val="both"/>
        <w:rPr>
          <w:rFonts w:ascii="仿宋_GB2312" w:eastAsia="仿宋_GB2312"/>
          <w:sz w:val="32"/>
          <w:szCs w:val="32"/>
        </w:rPr>
      </w:pP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（二）根据评审规则和流程，对评审工作进行监督，根据评审委员意见，研究审定股权投资基金投资方案；</w:t>
      </w:r>
    </w:p>
    <w:p>
      <w:pPr>
        <w:pStyle w:val="2"/>
        <w:snapToGrid w:val="0"/>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（三）委托、指导和监督基金受托管理机构对股权投资基金的管理工作，评估、考核股权投资基金投资运行情况；</w:t>
      </w:r>
    </w:p>
    <w:p>
      <w:pPr>
        <w:pStyle w:val="2"/>
        <w:snapToGrid w:val="0"/>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（四）其他股权投资基金重大事项。</w:t>
      </w:r>
    </w:p>
    <w:p>
      <w:pPr>
        <w:numPr>
          <w:ilvl w:val="0"/>
          <w:numId w:val="1"/>
        </w:numPr>
        <w:tabs>
          <w:tab w:val="left" w:pos="0"/>
          <w:tab w:val="left" w:pos="1430"/>
          <w:tab w:val="left" w:pos="1980"/>
          <w:tab w:val="clear" w:pos="1800"/>
        </w:tabs>
        <w:autoSpaceDE w:val="0"/>
        <w:autoSpaceDN w:val="0"/>
        <w:adjustRightInd w:val="0"/>
        <w:spacing w:line="600" w:lineRule="exact"/>
        <w:ind w:left="0" w:firstLine="640" w:firstLineChars="200"/>
        <w:rPr>
          <w:rFonts w:ascii="仿宋_GB2312" w:eastAsia="仿宋_GB2312"/>
          <w:color w:val="000000"/>
          <w:sz w:val="32"/>
          <w:szCs w:val="32"/>
        </w:rPr>
      </w:pPr>
      <w:r>
        <w:rPr>
          <w:rFonts w:hint="eastAsia" w:ascii="仿宋_GB2312" w:hAnsi="Courier New" w:eastAsia="仿宋_GB2312" w:cs="Courier New"/>
          <w:sz w:val="32"/>
          <w:szCs w:val="32"/>
          <w:lang w:val="en-US" w:eastAsia="zh-CN"/>
        </w:rPr>
        <w:t xml:space="preserve">  </w:t>
      </w:r>
      <w:r>
        <w:rPr>
          <w:rFonts w:hint="eastAsia" w:ascii="仿宋_GB2312" w:hAnsi="Courier New" w:eastAsia="仿宋_GB2312" w:cs="Courier New"/>
          <w:sz w:val="32"/>
          <w:szCs w:val="32"/>
        </w:rPr>
        <w:t>亦庄国投作为受托的股权投资基金名义出资代表，</w:t>
      </w:r>
      <w:r>
        <w:rPr>
          <w:rFonts w:hint="eastAsia" w:eastAsia="仿宋_GB2312"/>
          <w:sz w:val="32"/>
          <w:szCs w:val="32"/>
        </w:rPr>
        <w:t>行使股权投资基金出资人义务，与基金受托管理机构签订委托管理协议。</w:t>
      </w:r>
    </w:p>
    <w:p>
      <w:pPr>
        <w:tabs>
          <w:tab w:val="left" w:pos="1800"/>
          <w:tab w:val="left" w:pos="1980"/>
        </w:tabs>
        <w:autoSpaceDE w:val="0"/>
        <w:autoSpaceDN w:val="0"/>
        <w:adjustRightInd w:val="0"/>
        <w:spacing w:line="600" w:lineRule="exact"/>
        <w:ind w:firstLine="640" w:firstLineChars="200"/>
        <w:rPr>
          <w:rFonts w:ascii="仿宋_GB2312" w:eastAsia="仿宋_GB2312"/>
          <w:sz w:val="32"/>
          <w:szCs w:val="32"/>
        </w:rPr>
      </w:pPr>
      <w:r>
        <w:rPr>
          <w:rFonts w:hint="eastAsia" w:ascii="仿宋_GB2312" w:hAnsi="Courier New" w:eastAsia="仿宋_GB2312" w:cs="Courier New"/>
          <w:sz w:val="32"/>
          <w:szCs w:val="32"/>
        </w:rPr>
        <w:t>亦庄产投作为股权投资</w:t>
      </w:r>
      <w:r>
        <w:rPr>
          <w:rFonts w:hint="eastAsia" w:ascii="仿宋_GB2312" w:eastAsia="仿宋_GB2312"/>
          <w:color w:val="000000"/>
          <w:sz w:val="32"/>
          <w:szCs w:val="32"/>
        </w:rPr>
        <w:t>基金受托管理机构具体负责股权投资基金投资方案、合作方案、退出方案的拟订和实施，负责股权投资基金的投后管理等相关工作。股权投资基金受托管理机构应</w:t>
      </w:r>
      <w:r>
        <w:rPr>
          <w:rFonts w:hint="eastAsia" w:ascii="仿宋_GB2312" w:hAnsi="宋体" w:eastAsia="仿宋_GB2312"/>
          <w:bCs/>
          <w:color w:val="000000"/>
          <w:sz w:val="32"/>
          <w:szCs w:val="32"/>
        </w:rPr>
        <w:t>根据开发区科技局要求报送股权投资基金投资运行情况等相关资料</w:t>
      </w:r>
      <w:r>
        <w:rPr>
          <w:rFonts w:hint="eastAsia" w:ascii="仿宋_GB2312" w:eastAsia="仿宋_GB2312"/>
          <w:sz w:val="32"/>
          <w:szCs w:val="32"/>
        </w:rPr>
        <w:t>。</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管理费按照股权投资基金受托管理规模</w:t>
      </w:r>
      <w:r>
        <w:rPr>
          <w:rFonts w:ascii="仿宋_GB2312" w:eastAsia="仿宋_GB2312"/>
          <w:sz w:val="32"/>
          <w:szCs w:val="32"/>
        </w:rPr>
        <w:t>2%/年</w:t>
      </w:r>
      <w:r>
        <w:rPr>
          <w:rFonts w:hint="eastAsia" w:ascii="仿宋_GB2312" w:eastAsia="仿宋_GB2312"/>
          <w:sz w:val="32"/>
          <w:szCs w:val="32"/>
        </w:rPr>
        <w:t>的标准向受托管理机构支付，</w:t>
      </w:r>
      <w:r>
        <w:rPr>
          <w:rFonts w:hint="eastAsia" w:ascii="仿宋_GB2312" w:eastAsia="仿宋_GB2312"/>
          <w:color w:val="000000"/>
          <w:sz w:val="32"/>
          <w:szCs w:val="32"/>
        </w:rPr>
        <w:t>在股权投资基金中列支</w:t>
      </w:r>
      <w:r>
        <w:rPr>
          <w:rFonts w:hint="eastAsia" w:ascii="仿宋_GB2312" w:eastAsia="仿宋_GB2312"/>
          <w:sz w:val="32"/>
          <w:szCs w:val="32"/>
        </w:rPr>
        <w:t>，具体支付时间、支付方式在委托管理协议中明确约定</w:t>
      </w:r>
      <w:r>
        <w:rPr>
          <w:rFonts w:hint="eastAsia" w:ascii="仿宋_GB2312" w:eastAsia="仿宋_GB2312"/>
          <w:color w:val="000000"/>
          <w:sz w:val="32"/>
          <w:szCs w:val="32"/>
        </w:rPr>
        <w:t>。</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股权投资基金的出资比例原则上不超过被投资企业注册资本或净资产的</w:t>
      </w:r>
      <w:r>
        <w:rPr>
          <w:rFonts w:ascii="仿宋_GB2312" w:eastAsia="仿宋_GB2312"/>
          <w:color w:val="000000"/>
          <w:sz w:val="32"/>
          <w:szCs w:val="32"/>
        </w:rPr>
        <w:t>2</w:t>
      </w:r>
      <w:r>
        <w:rPr>
          <w:rFonts w:hint="eastAsia" w:ascii="仿宋_GB2312" w:eastAsia="仿宋_GB2312"/>
          <w:color w:val="000000"/>
          <w:sz w:val="32"/>
          <w:szCs w:val="32"/>
        </w:rPr>
        <w:t>0%。股权投资基金单个项目累计投资金额原则上不超过</w:t>
      </w:r>
      <w:r>
        <w:rPr>
          <w:rFonts w:ascii="仿宋_GB2312" w:eastAsia="仿宋_GB2312"/>
          <w:color w:val="000000"/>
          <w:sz w:val="32"/>
          <w:szCs w:val="32"/>
        </w:rPr>
        <w:t>2</w:t>
      </w:r>
      <w:r>
        <w:rPr>
          <w:rFonts w:hint="eastAsia" w:ascii="仿宋_GB2312" w:eastAsia="仿宋_GB2312"/>
          <w:color w:val="000000"/>
          <w:sz w:val="32"/>
          <w:szCs w:val="32"/>
        </w:rPr>
        <w:t>000万元。</w:t>
      </w:r>
    </w:p>
    <w:p>
      <w:pPr>
        <w:numPr>
          <w:ilvl w:val="0"/>
          <w:numId w:val="1"/>
        </w:numPr>
        <w:tabs>
          <w:tab w:val="left" w:pos="0"/>
          <w:tab w:val="left" w:pos="2340"/>
          <w:tab w:val="clear" w:pos="1800"/>
        </w:tabs>
        <w:spacing w:line="600" w:lineRule="exact"/>
        <w:ind w:left="0" w:firstLine="710"/>
        <w:rPr>
          <w:rFonts w:ascii="仿宋_GB2312" w:eastAsia="仿宋_GB2312"/>
          <w:color w:val="000000"/>
          <w:sz w:val="32"/>
          <w:szCs w:val="32"/>
        </w:rPr>
      </w:pPr>
      <w:r>
        <w:rPr>
          <w:rFonts w:hint="eastAsia" w:ascii="仿宋_GB2312" w:eastAsia="仿宋_GB2312"/>
          <w:color w:val="000000"/>
          <w:sz w:val="32"/>
          <w:szCs w:val="32"/>
          <w:lang w:val="en-US" w:eastAsia="zh-CN"/>
        </w:rPr>
        <w:t>股</w:t>
      </w:r>
      <w:r>
        <w:rPr>
          <w:rFonts w:hint="eastAsia" w:ascii="仿宋_GB2312" w:eastAsia="仿宋_GB2312"/>
          <w:color w:val="000000"/>
          <w:sz w:val="32"/>
          <w:szCs w:val="32"/>
        </w:rPr>
        <w:t>权投资基金不得用于从事以下业务：</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（一）投资于已上市企业，所投资的未上市企业上市后，基金所持股份未转让及其配售部分除外；</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（二）从事担保、抵押、委托贷款、房地产（包括购买自用房地产）等业务；</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（三）投资于其他创业投资基金或投资性企业；</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（四）投资于股票、期货、企业债券、信托产品、理财产品、保险计划及其他金融衍生品；</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（五）向任何第三人提供赞助、捐赠等；</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（六）吸收或变相吸收存款，或向任何第三人提供贷款和资金拆借；</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（七）进行承担无限连带责任的对外投资；</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（八）发行信托或集合理财产品的形式募集资金；</w:t>
      </w:r>
    </w:p>
    <w:p>
      <w:pPr>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（九）其他国家法律法规禁止从事的业务。</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为保证股权投资基金安全运行，选定境内商业银行作为股权投资基金的托管银行，具体负责资金保管、拨付、结算等日常工作并对股权投资基金投资区域、方向等进行动态监管。托管银行定期向开发区科技局及股权投资基金受托管理机构出具托管报告。托管银行应符合以下条件：</w:t>
      </w:r>
    </w:p>
    <w:p>
      <w:pPr>
        <w:spacing w:line="60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（一）成立时间在五年以上全国性的股份制商业银行；</w:t>
      </w:r>
    </w:p>
    <w:p>
      <w:pPr>
        <w:spacing w:line="60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（二）具有创业投资基金托管经验；</w:t>
      </w:r>
    </w:p>
    <w:p>
      <w:pPr>
        <w:spacing w:line="60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（三）无重大过失及行政主管机关或司法机关处罚的不良记录。</w:t>
      </w:r>
    </w:p>
    <w:p>
      <w:pPr>
        <w:tabs>
          <w:tab w:val="left" w:pos="1980"/>
        </w:tabs>
        <w:spacing w:line="600" w:lineRule="exact"/>
        <w:jc w:val="center"/>
        <w:rPr>
          <w:rFonts w:ascii="黑体" w:eastAsia="黑体"/>
          <w:color w:val="000000"/>
          <w:sz w:val="32"/>
          <w:szCs w:val="32"/>
        </w:rPr>
      </w:pPr>
      <w:r>
        <w:rPr>
          <w:rFonts w:hint="eastAsia" w:ascii="黑体" w:eastAsia="黑体"/>
          <w:color w:val="000000"/>
          <w:sz w:val="32"/>
          <w:szCs w:val="32"/>
        </w:rPr>
        <w:t>第六章  监督机制</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股权投资基金受托管理机构</w:t>
      </w:r>
      <w:r>
        <w:rPr>
          <w:rFonts w:ascii="仿宋_GB2312" w:eastAsia="仿宋_GB2312"/>
          <w:color w:val="000000"/>
          <w:sz w:val="32"/>
          <w:szCs w:val="32"/>
        </w:rPr>
        <w:t>须制定以下风险控制措施保障股权投资基金安全：</w:t>
      </w:r>
    </w:p>
    <w:p>
      <w:pPr>
        <w:tabs>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ascii="仿宋_GB2312" w:eastAsia="仿宋_GB2312"/>
          <w:color w:val="000000"/>
          <w:sz w:val="32"/>
          <w:szCs w:val="32"/>
        </w:rPr>
        <w:t>（一）制定严格的投资流程和投资筛选标准</w:t>
      </w:r>
      <w:r>
        <w:rPr>
          <w:rFonts w:hint="eastAsia" w:ascii="仿宋_GB2312" w:eastAsia="仿宋_GB2312"/>
          <w:color w:val="000000"/>
          <w:sz w:val="32"/>
          <w:szCs w:val="32"/>
        </w:rPr>
        <w:t>；</w:t>
      </w:r>
    </w:p>
    <w:p>
      <w:pPr>
        <w:tabs>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ascii="仿宋_GB2312" w:eastAsia="仿宋_GB2312"/>
          <w:color w:val="000000"/>
          <w:sz w:val="32"/>
          <w:szCs w:val="32"/>
        </w:rPr>
        <w:t>（二）与被投资企业</w:t>
      </w:r>
      <w:r>
        <w:rPr>
          <w:rFonts w:hint="eastAsia" w:ascii="仿宋_GB2312" w:eastAsia="仿宋_GB2312"/>
          <w:color w:val="000000"/>
          <w:sz w:val="32"/>
          <w:szCs w:val="32"/>
        </w:rPr>
        <w:t>及</w:t>
      </w:r>
      <w:r>
        <w:rPr>
          <w:rFonts w:ascii="仿宋_GB2312" w:eastAsia="仿宋_GB2312"/>
          <w:color w:val="000000"/>
          <w:sz w:val="32"/>
          <w:szCs w:val="32"/>
        </w:rPr>
        <w:t>被投资企业主要股东就有关事项协商一致并签订投资协议</w:t>
      </w:r>
      <w:r>
        <w:rPr>
          <w:rFonts w:hint="eastAsia" w:ascii="仿宋_GB2312" w:eastAsia="仿宋_GB2312"/>
          <w:color w:val="000000"/>
          <w:sz w:val="32"/>
          <w:szCs w:val="32"/>
        </w:rPr>
        <w:t>；</w:t>
      </w:r>
    </w:p>
    <w:p>
      <w:pPr>
        <w:tabs>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ascii="仿宋_GB2312" w:eastAsia="仿宋_GB2312"/>
          <w:color w:val="000000"/>
          <w:sz w:val="32"/>
          <w:szCs w:val="32"/>
        </w:rPr>
        <w:t>（三）委派项目负责人定期了解被投资企业</w:t>
      </w:r>
      <w:r>
        <w:rPr>
          <w:rFonts w:hint="eastAsia" w:ascii="仿宋_GB2312" w:eastAsia="仿宋_GB2312"/>
          <w:color w:val="000000"/>
          <w:sz w:val="32"/>
          <w:szCs w:val="32"/>
        </w:rPr>
        <w:t>运营情况；</w:t>
      </w:r>
    </w:p>
    <w:p>
      <w:pPr>
        <w:tabs>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ascii="仿宋_GB2312" w:eastAsia="仿宋_GB2312"/>
          <w:color w:val="000000"/>
          <w:sz w:val="32"/>
          <w:szCs w:val="32"/>
        </w:rPr>
        <w:t>（四）与被投资企业</w:t>
      </w:r>
      <w:r>
        <w:rPr>
          <w:rFonts w:hint="eastAsia" w:ascii="仿宋_GB2312" w:eastAsia="仿宋_GB2312"/>
          <w:color w:val="000000"/>
          <w:sz w:val="32"/>
          <w:szCs w:val="32"/>
        </w:rPr>
        <w:t>及</w:t>
      </w:r>
      <w:r>
        <w:rPr>
          <w:rFonts w:ascii="仿宋_GB2312" w:eastAsia="仿宋_GB2312"/>
          <w:color w:val="000000"/>
          <w:sz w:val="32"/>
          <w:szCs w:val="32"/>
        </w:rPr>
        <w:t>被投资企业股东约定定期信息公开机制</w:t>
      </w:r>
      <w:r>
        <w:rPr>
          <w:rFonts w:hint="eastAsia" w:ascii="仿宋_GB2312" w:eastAsia="仿宋_GB2312"/>
          <w:color w:val="000000"/>
          <w:sz w:val="32"/>
          <w:szCs w:val="32"/>
        </w:rPr>
        <w:t>；</w:t>
      </w:r>
    </w:p>
    <w:p>
      <w:pPr>
        <w:tabs>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ascii="仿宋_GB2312" w:eastAsia="仿宋_GB2312"/>
          <w:color w:val="000000"/>
          <w:sz w:val="32"/>
          <w:szCs w:val="32"/>
        </w:rPr>
        <w:t>（五）与被投资企业</w:t>
      </w:r>
      <w:r>
        <w:rPr>
          <w:rFonts w:hint="eastAsia" w:ascii="仿宋_GB2312" w:eastAsia="仿宋_GB2312"/>
          <w:color w:val="000000"/>
          <w:sz w:val="32"/>
          <w:szCs w:val="32"/>
        </w:rPr>
        <w:t>及</w:t>
      </w:r>
      <w:r>
        <w:rPr>
          <w:rFonts w:ascii="仿宋_GB2312" w:eastAsia="仿宋_GB2312"/>
          <w:color w:val="000000"/>
          <w:sz w:val="32"/>
          <w:szCs w:val="32"/>
        </w:rPr>
        <w:t>被投资企业股东约定退出条款；</w:t>
      </w:r>
    </w:p>
    <w:p>
      <w:pPr>
        <w:pStyle w:val="2"/>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rPr>
        <w:t>（六）其他有利于保障资金安全的措施。</w:t>
      </w:r>
    </w:p>
    <w:p>
      <w:pPr>
        <w:pStyle w:val="2"/>
        <w:spacing w:before="0" w:beforeAutospacing="0" w:after="0" w:afterAutospacing="0" w:line="600" w:lineRule="exact"/>
        <w:ind w:firstLine="640" w:firstLineChars="200"/>
        <w:jc w:val="both"/>
        <w:rPr>
          <w:rFonts w:ascii="仿宋_GB2312" w:eastAsia="仿宋_GB2312"/>
          <w:sz w:val="32"/>
          <w:szCs w:val="32"/>
        </w:rPr>
      </w:pPr>
      <w:r>
        <w:rPr>
          <w:rFonts w:ascii="仿宋_GB2312" w:eastAsia="仿宋_GB2312"/>
          <w:sz w:val="32"/>
          <w:szCs w:val="32"/>
        </w:rPr>
        <w:t>股权投资基金受托管理机构应根据开发区科技局要求提交委托管理资金和委托项目进展报告等相关重大事项报告。报告内容包括但不限于受托管理的资金使用情况、被投资企业经营情况、股权投资的退出和收益情况、委托协议约定的其他事项。</w:t>
      </w:r>
    </w:p>
    <w:p>
      <w:pPr>
        <w:numPr>
          <w:ilvl w:val="0"/>
          <w:numId w:val="1"/>
        </w:numPr>
        <w:tabs>
          <w:tab w:val="left" w:pos="0"/>
          <w:tab w:val="left" w:pos="1430"/>
          <w:tab w:val="left" w:pos="1980"/>
          <w:tab w:val="clear" w:pos="1800"/>
        </w:tabs>
        <w:spacing w:line="600" w:lineRule="exact"/>
        <w:ind w:left="0"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开发区科技局负责</w:t>
      </w:r>
      <w:r>
        <w:rPr>
          <w:rFonts w:hint="eastAsia" w:ascii="仿宋_GB2312" w:eastAsia="仿宋_GB2312"/>
          <w:sz w:val="32"/>
          <w:szCs w:val="32"/>
        </w:rPr>
        <w:t>对股权投资基金整体运作情况、资金投资效果进行考核及评估</w:t>
      </w:r>
      <w:r>
        <w:rPr>
          <w:rFonts w:hint="eastAsia" w:ascii="仿宋_GB2312" w:eastAsia="仿宋_GB2312"/>
          <w:color w:val="000000"/>
          <w:sz w:val="32"/>
          <w:szCs w:val="32"/>
        </w:rPr>
        <w:t>，主要参照以下标准：</w:t>
      </w:r>
    </w:p>
    <w:p>
      <w:pPr>
        <w:tabs>
          <w:tab w:val="left" w:pos="1800"/>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（一）是否按照股权投资基金委托要求，组织专业管理团队对股权投资基金进行管理，按照</w:t>
      </w:r>
      <w:r>
        <w:rPr>
          <w:rFonts w:ascii="仿宋_GB2312" w:eastAsia="仿宋_GB2312"/>
          <w:color w:val="000000"/>
          <w:sz w:val="32"/>
          <w:szCs w:val="32"/>
        </w:rPr>
        <w:t>严格的投资流程和投资标准</w:t>
      </w:r>
      <w:r>
        <w:rPr>
          <w:rFonts w:hint="eastAsia" w:ascii="仿宋_GB2312" w:eastAsia="仿宋_GB2312"/>
          <w:color w:val="000000"/>
          <w:sz w:val="32"/>
          <w:szCs w:val="32"/>
        </w:rPr>
        <w:t>，</w:t>
      </w:r>
      <w:r>
        <w:rPr>
          <w:rFonts w:ascii="仿宋_GB2312" w:eastAsia="仿宋_GB2312"/>
          <w:color w:val="000000"/>
          <w:sz w:val="32"/>
          <w:szCs w:val="32"/>
        </w:rPr>
        <w:t>与被投资企业签订投资协议</w:t>
      </w:r>
      <w:r>
        <w:rPr>
          <w:rFonts w:hint="eastAsia" w:ascii="仿宋_GB2312" w:eastAsia="仿宋_GB2312"/>
          <w:color w:val="000000"/>
          <w:sz w:val="32"/>
          <w:szCs w:val="32"/>
        </w:rPr>
        <w:t>；</w:t>
      </w:r>
    </w:p>
    <w:p>
      <w:pPr>
        <w:tabs>
          <w:tab w:val="left" w:pos="1800"/>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（二）是否向被投资企业派驻经开发区科技局认可的项目负责人，代表股权投资基金行使相应权利，承担相应义务；</w:t>
      </w:r>
    </w:p>
    <w:p>
      <w:pPr>
        <w:tabs>
          <w:tab w:val="left" w:pos="1800"/>
          <w:tab w:val="left" w:pos="1980"/>
        </w:tabs>
        <w:spacing w:line="60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（三）是否根据开发区科技局要求定期提供经审计的被投资企业财务报告、资金使用情况报告及被投资企业进展情况报告等。</w:t>
      </w:r>
    </w:p>
    <w:p>
      <w:pPr>
        <w:spacing w:line="600" w:lineRule="exact"/>
        <w:jc w:val="center"/>
        <w:rPr>
          <w:rFonts w:ascii="黑体" w:eastAsia="黑体"/>
          <w:color w:val="000000"/>
          <w:sz w:val="32"/>
          <w:szCs w:val="32"/>
        </w:rPr>
      </w:pPr>
      <w:r>
        <w:rPr>
          <w:rFonts w:hint="eastAsia" w:ascii="黑体" w:eastAsia="黑体"/>
          <w:color w:val="000000"/>
          <w:sz w:val="32"/>
          <w:szCs w:val="32"/>
        </w:rPr>
        <w:t>第七章  附则</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本实施细则由开发区管委会负责解释。</w:t>
      </w:r>
    </w:p>
    <w:p>
      <w:pPr>
        <w:numPr>
          <w:ilvl w:val="0"/>
          <w:numId w:val="1"/>
        </w:numPr>
        <w:tabs>
          <w:tab w:val="left" w:pos="0"/>
          <w:tab w:val="left" w:pos="1430"/>
          <w:tab w:val="left" w:pos="1980"/>
          <w:tab w:val="clear" w:pos="1800"/>
        </w:tabs>
        <w:spacing w:line="600" w:lineRule="exact"/>
        <w:ind w:left="0" w:firstLine="72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本实施细则自发布</w:t>
      </w:r>
      <w:r>
        <w:rPr>
          <w:rFonts w:hint="eastAsia" w:ascii="仿宋_GB2312" w:eastAsia="仿宋_GB2312"/>
          <w:sz w:val="32"/>
          <w:szCs w:val="32"/>
        </w:rPr>
        <w:t>之日起三十</w:t>
      </w:r>
      <w:r>
        <w:rPr>
          <w:rFonts w:ascii="仿宋_GB2312" w:eastAsia="仿宋_GB2312"/>
          <w:sz w:val="32"/>
          <w:szCs w:val="32"/>
        </w:rPr>
        <w:t>日后开始实施</w:t>
      </w:r>
      <w:r>
        <w:rPr>
          <w:rFonts w:hint="eastAsia" w:ascii="仿宋_GB2312" w:eastAsia="仿宋_GB2312"/>
          <w:sz w:val="32"/>
          <w:szCs w:val="32"/>
        </w:rPr>
        <w:t>。</w:t>
      </w:r>
    </w:p>
    <w:p>
      <w:pPr>
        <w:spacing w:line="480" w:lineRule="exact"/>
        <w:jc w:val="left"/>
        <w:rPr>
          <w:rFonts w:hint="eastAsia"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A0000287" w:usb1="28C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10C6E"/>
    <w:multiLevelType w:val="multilevel"/>
    <w:tmpl w:val="65B10C6E"/>
    <w:lvl w:ilvl="0" w:tentative="0">
      <w:start w:val="1"/>
      <w:numFmt w:val="chineseCountingThousand"/>
      <w:lvlText w:val="第%1条"/>
      <w:lvlJc w:val="left"/>
      <w:pPr>
        <w:tabs>
          <w:tab w:val="left" w:pos="1800"/>
        </w:tabs>
        <w:ind w:left="1800" w:hanging="720"/>
      </w:pPr>
      <w:rPr>
        <w:b/>
        <w:i w:val="0"/>
        <w:color w:val="auto"/>
        <w:lang w:val="en-US"/>
      </w:rPr>
    </w:lvl>
    <w:lvl w:ilvl="1" w:tentative="0">
      <w:start w:val="1"/>
      <w:numFmt w:val="japaneseCounting"/>
      <w:lvlText w:val="（%2）"/>
      <w:lvlJc w:val="left"/>
      <w:pPr>
        <w:tabs>
          <w:tab w:val="left" w:pos="2130"/>
        </w:tabs>
        <w:ind w:left="213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C6E74"/>
    <w:rsid w:val="100C6E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hint="eastAsia" w:ascii="宋体" w:hAnsi="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2016-11-10T06:42:00Z</dcterms:created>
  <dc:creator>banruo</dc:creator>
  <cp:lastModifiedBy>banruo</cp:lastModifiedBy>
  <dcterms:modified xsi:type="dcterms:W3CDTF">2016-11-10T06:42:56Z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