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hint="eastAsia" w:ascii="黑体" w:eastAsia="黑体"/>
          <w:sz w:val="32"/>
        </w:rPr>
      </w:pPr>
      <w:r>
        <w:rPr>
          <w:rFonts w:hint="eastAsia" w:ascii="黑体" w:eastAsia="黑体"/>
          <w:sz w:val="32"/>
        </w:rPr>
        <w:t>京财农〔2016〕505号附件</w:t>
      </w:r>
    </w:p>
    <w:p>
      <w:pPr>
        <w:widowControl/>
        <w:shd w:val="clear" w:color="auto" w:fill="FFFFFF"/>
        <w:rPr>
          <w:rFonts w:hint="eastAsia" w:ascii="宋体" w:hAnsi="宋体" w:cs="Arial"/>
          <w:b/>
          <w:bCs/>
          <w:kern w:val="0"/>
          <w:sz w:val="36"/>
          <w:szCs w:val="36"/>
        </w:rPr>
      </w:pPr>
    </w:p>
    <w:p>
      <w:pPr>
        <w:widowControl/>
        <w:shd w:val="clear" w:color="auto" w:fill="FFFFFF"/>
        <w:jc w:val="center"/>
        <w:rPr>
          <w:rFonts w:hint="eastAsia" w:ascii="方正小标宋简体" w:hAnsi="宋体" w:eastAsia="方正小标宋简体" w:cs="Arial"/>
          <w:bCs/>
          <w:kern w:val="0"/>
          <w:sz w:val="36"/>
          <w:szCs w:val="36"/>
        </w:rPr>
      </w:pPr>
      <w:r>
        <w:rPr>
          <w:rFonts w:hint="eastAsia" w:ascii="方正小标宋简体" w:hAnsi="宋体" w:eastAsia="方正小标宋简体" w:cs="Arial"/>
          <w:bCs/>
          <w:kern w:val="0"/>
          <w:sz w:val="36"/>
          <w:szCs w:val="36"/>
        </w:rPr>
        <w:t>北京市农业担保资金管理办法</w:t>
      </w:r>
    </w:p>
    <w:p>
      <w:pPr>
        <w:widowControl/>
        <w:shd w:val="clear" w:color="auto" w:fill="FFFFFF"/>
        <w:spacing w:before="240" w:after="240"/>
        <w:jc w:val="center"/>
        <w:outlineLvl w:val="2"/>
        <w:rPr>
          <w:rFonts w:hint="eastAsia" w:ascii="黑体" w:hAnsi="宋体" w:eastAsia="黑体" w:cs="Arial"/>
          <w:bCs/>
          <w:kern w:val="0"/>
          <w:sz w:val="32"/>
          <w:szCs w:val="32"/>
        </w:rPr>
      </w:pPr>
    </w:p>
    <w:p>
      <w:pPr>
        <w:widowControl/>
        <w:shd w:val="clear" w:color="auto" w:fill="FFFFFF"/>
        <w:spacing w:before="240" w:after="240" w:line="540" w:lineRule="exact"/>
        <w:jc w:val="center"/>
        <w:outlineLvl w:val="2"/>
        <w:rPr>
          <w:rFonts w:hint="eastAsia" w:ascii="黑体" w:hAnsi="宋体" w:eastAsia="黑体" w:cs="Arial"/>
          <w:bCs/>
          <w:kern w:val="0"/>
          <w:sz w:val="32"/>
          <w:szCs w:val="32"/>
        </w:rPr>
      </w:pPr>
      <w:r>
        <w:rPr>
          <w:rFonts w:hint="eastAsia" w:ascii="黑体" w:hAnsi="宋体" w:eastAsia="黑体" w:cs="Arial"/>
          <w:bCs/>
          <w:kern w:val="0"/>
          <w:sz w:val="32"/>
          <w:szCs w:val="32"/>
        </w:rPr>
        <w:t>第一章　总则</w:t>
      </w:r>
    </w:p>
    <w:p>
      <w:pPr>
        <w:widowControl/>
        <w:shd w:val="clear" w:color="auto" w:fill="FFFFFF"/>
        <w:spacing w:line="540" w:lineRule="exact"/>
        <w:ind w:firstLine="650"/>
        <w:rPr>
          <w:rFonts w:hint="eastAsia" w:ascii="仿宋_GB2312" w:hAnsi="宋体" w:eastAsia="仿宋_GB2312" w:cs="Arial"/>
          <w:kern w:val="0"/>
          <w:sz w:val="32"/>
          <w:szCs w:val="32"/>
        </w:rPr>
      </w:pPr>
      <w:bookmarkStart w:id="0" w:name="1"/>
      <w:r>
        <w:rPr>
          <w:rFonts w:hint="eastAsia" w:ascii="仿宋_GB2312" w:hAnsi="宋体" w:eastAsia="仿宋_GB2312" w:cs="Arial"/>
          <w:b/>
          <w:bCs/>
          <w:kern w:val="0"/>
          <w:sz w:val="32"/>
          <w:szCs w:val="32"/>
        </w:rPr>
        <w:t>第一条</w:t>
      </w:r>
      <w:bookmarkEnd w:id="0"/>
      <w:r>
        <w:rPr>
          <w:rFonts w:hint="eastAsia" w:ascii="仿宋_GB2312" w:hAnsi="宋体" w:eastAsia="仿宋_GB2312" w:cs="Arial"/>
          <w:b/>
          <w:bCs/>
          <w:kern w:val="0"/>
          <w:sz w:val="32"/>
          <w:szCs w:val="32"/>
        </w:rPr>
        <w:t xml:space="preserve">  </w:t>
      </w:r>
      <w:r>
        <w:rPr>
          <w:rFonts w:hint="eastAsia" w:ascii="仿宋_GB2312" w:hAnsi="宋体" w:eastAsia="仿宋_GB2312" w:cs="Arial"/>
          <w:kern w:val="0"/>
          <w:sz w:val="32"/>
          <w:szCs w:val="32"/>
        </w:rPr>
        <w:t>为促进北京都市型现代农业发展和新农村建设，解决农业、农村、农民“融资难、融资贵”的问题，根据《中华人民共和国预算法》、《国务院关于促进融资担保行业加快发展的意见》（国发[2015]43号）、《融资性担保公司管理暂行办法》（2010年第3号）、《关于财政支持建立农业信贷担保体系的指导意见》（财农[2015]121号）和其他国家有关法律、法规及政策，制定本办法。</w:t>
      </w:r>
      <w:bookmarkStart w:id="1" w:name="2"/>
    </w:p>
    <w:p>
      <w:pPr>
        <w:widowControl/>
        <w:shd w:val="clear" w:color="auto" w:fill="FFFFFF"/>
        <w:spacing w:line="540" w:lineRule="exact"/>
        <w:ind w:firstLine="650"/>
        <w:rPr>
          <w:rFonts w:hint="eastAsia" w:ascii="仿宋_GB2312" w:hAnsi="宋体" w:eastAsia="仿宋_GB2312" w:cs="Arial"/>
          <w:kern w:val="0"/>
          <w:sz w:val="32"/>
          <w:szCs w:val="32"/>
        </w:rPr>
      </w:pPr>
      <w:r>
        <w:rPr>
          <w:rFonts w:hint="eastAsia" w:ascii="仿宋_GB2312" w:hAnsi="宋体" w:eastAsia="仿宋_GB2312" w:cs="Arial"/>
          <w:b/>
          <w:bCs/>
          <w:kern w:val="0"/>
          <w:sz w:val="32"/>
          <w:szCs w:val="32"/>
        </w:rPr>
        <w:t>第二条</w:t>
      </w:r>
      <w:bookmarkEnd w:id="1"/>
      <w:r>
        <w:rPr>
          <w:rFonts w:hint="eastAsia" w:ascii="仿宋_GB2312" w:hAnsi="宋体" w:eastAsia="仿宋_GB2312" w:cs="Arial"/>
          <w:b/>
          <w:bCs/>
          <w:kern w:val="0"/>
          <w:sz w:val="32"/>
          <w:szCs w:val="32"/>
        </w:rPr>
        <w:t xml:space="preserve">  </w:t>
      </w:r>
      <w:r>
        <w:rPr>
          <w:rFonts w:hint="eastAsia" w:ascii="仿宋_GB2312" w:hAnsi="宋体" w:eastAsia="仿宋_GB2312" w:cs="Arial"/>
          <w:kern w:val="0"/>
          <w:sz w:val="32"/>
          <w:szCs w:val="32"/>
        </w:rPr>
        <w:t>本办法所指的北京市农业担保资金（简称“农业担保资金”）是由市、区县政府及相关单位共同出资，注入北京市农业融资担保有限公司（简称“市农担公司”）,重点用于开展涉农担保业务、支持首都“三农”发展的政策性资金。市级财政注入资金委托北京市农业投资有限公司作为出资人进行管理。</w:t>
      </w:r>
    </w:p>
    <w:p>
      <w:pPr>
        <w:widowControl/>
        <w:shd w:val="clear" w:color="auto" w:fill="FFFFFF"/>
        <w:spacing w:line="540" w:lineRule="exact"/>
        <w:ind w:firstLine="650"/>
        <w:rPr>
          <w:rFonts w:hint="eastAsia" w:ascii="仿宋_GB2312" w:hAnsi="宋体" w:eastAsia="仿宋_GB2312" w:cs="Arial"/>
          <w:kern w:val="0"/>
          <w:sz w:val="32"/>
          <w:szCs w:val="32"/>
        </w:rPr>
      </w:pPr>
      <w:r>
        <w:rPr>
          <w:rFonts w:hint="eastAsia" w:ascii="仿宋_GB2312" w:hAnsi="宋体" w:eastAsia="仿宋_GB2312" w:cs="Arial"/>
          <w:b/>
          <w:bCs/>
          <w:kern w:val="0"/>
          <w:sz w:val="32"/>
          <w:szCs w:val="32"/>
        </w:rPr>
        <w:t xml:space="preserve">第三条  </w:t>
      </w:r>
      <w:r>
        <w:rPr>
          <w:rFonts w:hint="eastAsia" w:ascii="仿宋_GB2312" w:hAnsi="宋体" w:eastAsia="仿宋_GB2312" w:cs="Arial"/>
          <w:kern w:val="0"/>
          <w:sz w:val="32"/>
          <w:szCs w:val="32"/>
        </w:rPr>
        <w:t>本办法所称的担保，是指市农担公司与债权人约定，当被担保人不履行对债权人负有的债务时，由市农担公司依法承担合同约定的担保责任的行为。</w:t>
      </w:r>
    </w:p>
    <w:p>
      <w:pPr>
        <w:widowControl/>
        <w:shd w:val="clear" w:color="auto" w:fill="FFFFFF"/>
        <w:spacing w:line="540" w:lineRule="exact"/>
        <w:ind w:firstLine="650"/>
        <w:rPr>
          <w:rFonts w:hint="eastAsia" w:ascii="仿宋_GB2312" w:hAnsi="宋体" w:eastAsia="仿宋_GB2312" w:cs="Arial"/>
          <w:kern w:val="0"/>
          <w:sz w:val="32"/>
          <w:szCs w:val="32"/>
        </w:rPr>
      </w:pPr>
      <w:r>
        <w:rPr>
          <w:rFonts w:hint="eastAsia" w:ascii="仿宋_GB2312" w:hAnsi="宋体" w:eastAsia="仿宋_GB2312" w:cs="Arial"/>
          <w:b/>
          <w:kern w:val="0"/>
          <w:sz w:val="32"/>
          <w:szCs w:val="32"/>
        </w:rPr>
        <w:t>第四条</w:t>
      </w:r>
      <w:r>
        <w:rPr>
          <w:rFonts w:hint="eastAsia" w:ascii="仿宋_GB2312" w:hAnsi="宋体" w:eastAsia="仿宋_GB2312" w:cs="Arial"/>
          <w:kern w:val="0"/>
          <w:sz w:val="32"/>
          <w:szCs w:val="32"/>
        </w:rPr>
        <w:t xml:space="preserve">  农业担保资金按照“政策性资金、法人化管理、市场化运作”的原则进行管理和运作。通过建立完善的法人治理结构和科学的风险管理机制，在合理分担风险的前提下讲求微利经营，注重社会效益和公司可持续发展，实现政府资金强农、惠农的目的。</w:t>
      </w:r>
    </w:p>
    <w:p>
      <w:pPr>
        <w:widowControl/>
        <w:shd w:val="clear" w:color="auto" w:fill="FFFFFF"/>
        <w:spacing w:line="540" w:lineRule="exact"/>
        <w:ind w:firstLine="650"/>
        <w:rPr>
          <w:rFonts w:hint="eastAsia" w:ascii="仿宋_GB2312" w:hAnsi="宋体" w:eastAsia="仿宋_GB2312" w:cs="Arial"/>
          <w:kern w:val="0"/>
          <w:sz w:val="32"/>
          <w:szCs w:val="32"/>
        </w:rPr>
      </w:pPr>
    </w:p>
    <w:p>
      <w:pPr>
        <w:widowControl/>
        <w:shd w:val="clear" w:color="auto" w:fill="FFFFFF"/>
        <w:spacing w:before="240" w:after="240" w:line="540" w:lineRule="exact"/>
        <w:jc w:val="center"/>
        <w:outlineLvl w:val="2"/>
        <w:rPr>
          <w:rFonts w:hint="eastAsia" w:ascii="黑体" w:hAnsi="宋体" w:eastAsia="黑体" w:cs="Arial"/>
          <w:bCs/>
          <w:kern w:val="0"/>
          <w:sz w:val="32"/>
          <w:szCs w:val="32"/>
        </w:rPr>
      </w:pPr>
      <w:r>
        <w:rPr>
          <w:rFonts w:hint="eastAsia" w:ascii="黑体" w:hAnsi="宋体" w:eastAsia="黑体" w:cs="Arial"/>
          <w:bCs/>
          <w:kern w:val="0"/>
          <w:sz w:val="32"/>
          <w:szCs w:val="32"/>
        </w:rPr>
        <w:t>第二章  重点担保领域及业务范围</w:t>
      </w:r>
    </w:p>
    <w:p>
      <w:pPr>
        <w:widowControl/>
        <w:shd w:val="clear" w:color="auto" w:fill="FFFFFF"/>
        <w:spacing w:line="540" w:lineRule="exact"/>
        <w:ind w:firstLine="640"/>
        <w:rPr>
          <w:rFonts w:hint="eastAsia" w:ascii="仿宋_GB2312" w:hAnsi="宋体" w:eastAsia="仿宋_GB2312" w:cs="Arial"/>
          <w:kern w:val="0"/>
          <w:sz w:val="32"/>
          <w:szCs w:val="32"/>
        </w:rPr>
      </w:pPr>
      <w:bookmarkStart w:id="2" w:name="7"/>
      <w:r>
        <w:rPr>
          <w:rFonts w:hint="eastAsia" w:ascii="仿宋_GB2312" w:hAnsi="宋体" w:eastAsia="仿宋_GB2312" w:cs="Arial"/>
          <w:b/>
          <w:bCs/>
          <w:kern w:val="0"/>
          <w:sz w:val="32"/>
          <w:szCs w:val="32"/>
        </w:rPr>
        <w:t>第五条</w:t>
      </w:r>
      <w:bookmarkEnd w:id="2"/>
      <w:r>
        <w:rPr>
          <w:rFonts w:hint="eastAsia" w:ascii="仿宋_GB2312" w:hAnsi="宋体" w:eastAsia="仿宋_GB2312" w:cs="Arial"/>
          <w:kern w:val="0"/>
          <w:sz w:val="32"/>
          <w:szCs w:val="32"/>
        </w:rPr>
        <w:t>　农业担保资金主要支持京津冀地区以农业、农村、农民发展和增收为重点，以农户、企业、合作组织等各类经营主体为对象的涉农领域的融资担保活动。涉农领域主要包括：</w:t>
      </w:r>
    </w:p>
    <w:p>
      <w:pPr>
        <w:widowControl/>
        <w:shd w:val="clear" w:color="auto" w:fill="FFFFFF"/>
        <w:spacing w:line="540" w:lineRule="exact"/>
        <w:ind w:firstLine="640"/>
        <w:rPr>
          <w:rFonts w:hint="eastAsia" w:ascii="仿宋_GB2312" w:hAnsi="宋体" w:eastAsia="仿宋_GB2312" w:cs="Arial"/>
          <w:kern w:val="0"/>
          <w:sz w:val="32"/>
          <w:szCs w:val="32"/>
        </w:rPr>
      </w:pPr>
      <w:r>
        <w:rPr>
          <w:rFonts w:hint="eastAsia" w:ascii="仿宋_GB2312" w:hAnsi="宋体" w:eastAsia="仿宋_GB2312" w:cs="Arial"/>
          <w:kern w:val="0"/>
          <w:sz w:val="32"/>
          <w:szCs w:val="32"/>
        </w:rPr>
        <w:t>（一）按照国民经济行业分类标准（GB/T4754-2002）规定的农林牧渔行业领域。其中农业包括谷物、蔬菜、园艺作物、中药材等农作物种植；林业包括林木培育与种植、林产品采集等；牧业包括为了获得各种畜禽产品而进行的动物饲养等；渔业包括以海洋、内陆水域养殖与捕捞等；以及使农、林、牧、渔业生产活动顺利进行而提供的灌溉服务、农机服务、动物防疫等农林牧渔服务业。</w:t>
      </w:r>
    </w:p>
    <w:p>
      <w:pPr>
        <w:widowControl/>
        <w:shd w:val="clear" w:color="auto" w:fill="FFFFFF"/>
        <w:spacing w:line="540" w:lineRule="exact"/>
        <w:ind w:firstLine="640"/>
        <w:rPr>
          <w:rFonts w:hint="eastAsia" w:ascii="仿宋_GB2312" w:hAnsi="宋体" w:eastAsia="仿宋_GB2312" w:cs="Arial"/>
          <w:kern w:val="0"/>
          <w:sz w:val="32"/>
          <w:szCs w:val="32"/>
        </w:rPr>
      </w:pPr>
      <w:r>
        <w:rPr>
          <w:rFonts w:hint="eastAsia" w:ascii="仿宋_GB2312" w:hAnsi="宋体" w:eastAsia="仿宋_GB2312" w:cs="Arial"/>
          <w:kern w:val="0"/>
          <w:sz w:val="32"/>
          <w:szCs w:val="32"/>
        </w:rPr>
        <w:t>（二）支持农业产前、产中、产后的各环节和支持农村基础设施建设等相关领域。包括农田基本建设、农产品加工、农业生产资料制造、农用物资及农副产品流通、农产品出口、农业科技、农村基础设施建设等。</w:t>
      </w:r>
    </w:p>
    <w:p>
      <w:pPr>
        <w:widowControl/>
        <w:shd w:val="clear" w:color="auto" w:fill="FFFFFF"/>
        <w:spacing w:line="540" w:lineRule="exact"/>
        <w:ind w:firstLine="640"/>
        <w:rPr>
          <w:rFonts w:hint="eastAsia" w:ascii="仿宋_GB2312" w:hAnsi="宋体" w:eastAsia="仿宋_GB2312" w:cs="Arial"/>
          <w:kern w:val="0"/>
          <w:sz w:val="32"/>
          <w:szCs w:val="32"/>
        </w:rPr>
      </w:pPr>
      <w:r>
        <w:rPr>
          <w:rFonts w:hint="eastAsia" w:ascii="仿宋_GB2312" w:hAnsi="宋体" w:eastAsia="仿宋_GB2312" w:cs="Arial"/>
          <w:kern w:val="0"/>
          <w:sz w:val="32"/>
          <w:szCs w:val="32"/>
        </w:rPr>
        <w:t>（三）符合都市型现代农业特点，与农林牧渔业直接相关、促进一二三产业融合发展的生产经营领域，包括乡村旅游、农业会展及农事节庆活动、美丽乡村建设等。</w:t>
      </w:r>
    </w:p>
    <w:p>
      <w:pPr>
        <w:widowControl/>
        <w:shd w:val="clear" w:color="auto" w:fill="FFFFFF"/>
        <w:spacing w:line="540" w:lineRule="exact"/>
        <w:ind w:firstLine="640"/>
        <w:rPr>
          <w:rFonts w:hint="eastAsia" w:ascii="仿宋_GB2312" w:hAnsi="宋体" w:eastAsia="仿宋_GB2312" w:cs="Arial"/>
          <w:kern w:val="0"/>
          <w:sz w:val="32"/>
          <w:szCs w:val="32"/>
        </w:rPr>
      </w:pPr>
      <w:r>
        <w:rPr>
          <w:rFonts w:hint="eastAsia" w:ascii="仿宋_GB2312" w:hAnsi="宋体" w:eastAsia="仿宋_GB2312" w:cs="Arial"/>
          <w:kern w:val="0"/>
          <w:sz w:val="32"/>
          <w:szCs w:val="32"/>
        </w:rPr>
        <w:t>（四）北京市农户开展的非农业生产经营领域和其他非生产领域。</w:t>
      </w:r>
    </w:p>
    <w:p>
      <w:pPr>
        <w:widowControl/>
        <w:shd w:val="clear" w:color="auto" w:fill="FFFFFF"/>
        <w:spacing w:line="540" w:lineRule="exact"/>
        <w:ind w:firstLine="640"/>
        <w:jc w:val="left"/>
        <w:rPr>
          <w:rFonts w:hint="eastAsia" w:ascii="仿宋_GB2312" w:hAnsi="宋体" w:eastAsia="仿宋_GB2312" w:cs="Arial"/>
          <w:kern w:val="0"/>
          <w:sz w:val="32"/>
          <w:szCs w:val="32"/>
        </w:rPr>
      </w:pPr>
      <w:bookmarkStart w:id="3" w:name="8"/>
      <w:r>
        <w:rPr>
          <w:rFonts w:hint="eastAsia" w:ascii="仿宋_GB2312" w:hAnsi="宋体" w:eastAsia="仿宋_GB2312" w:cs="Arial"/>
          <w:b/>
          <w:bCs/>
          <w:kern w:val="0"/>
          <w:sz w:val="32"/>
          <w:szCs w:val="32"/>
        </w:rPr>
        <w:t>第六条</w:t>
      </w:r>
      <w:bookmarkEnd w:id="3"/>
      <w:r>
        <w:rPr>
          <w:rFonts w:hint="eastAsia" w:ascii="仿宋_GB2312" w:hAnsi="宋体" w:eastAsia="仿宋_GB2312" w:cs="Arial"/>
          <w:kern w:val="0"/>
          <w:sz w:val="32"/>
          <w:szCs w:val="32"/>
        </w:rPr>
        <w:t>　经监管部门批准，担保资金可以用于经营下列部分或全部融资性担保业务：</w:t>
      </w:r>
    </w:p>
    <w:p>
      <w:pPr>
        <w:widowControl/>
        <w:shd w:val="clear" w:color="auto" w:fill="FFFFFF"/>
        <w:spacing w:line="540" w:lineRule="exact"/>
        <w:ind w:firstLine="640"/>
        <w:jc w:val="left"/>
        <w:rPr>
          <w:rFonts w:hint="eastAsia" w:ascii="仿宋_GB2312" w:hAnsi="宋体" w:eastAsia="仿宋_GB2312" w:cs="Arial"/>
          <w:kern w:val="0"/>
          <w:sz w:val="32"/>
          <w:szCs w:val="32"/>
        </w:rPr>
      </w:pPr>
      <w:r>
        <w:rPr>
          <w:rFonts w:hint="eastAsia" w:ascii="仿宋_GB2312" w:hAnsi="宋体" w:eastAsia="仿宋_GB2312" w:cs="Arial"/>
          <w:kern w:val="0"/>
          <w:sz w:val="32"/>
          <w:szCs w:val="32"/>
        </w:rPr>
        <w:t>（一）贷款担保；</w:t>
      </w:r>
    </w:p>
    <w:p>
      <w:pPr>
        <w:widowControl/>
        <w:shd w:val="clear" w:color="auto" w:fill="FFFFFF"/>
        <w:spacing w:line="540" w:lineRule="exact"/>
        <w:ind w:firstLine="640"/>
        <w:jc w:val="left"/>
        <w:rPr>
          <w:rFonts w:hint="eastAsia" w:ascii="仿宋_GB2312" w:hAnsi="宋体" w:eastAsia="仿宋_GB2312" w:cs="Arial"/>
          <w:kern w:val="0"/>
          <w:sz w:val="32"/>
          <w:szCs w:val="32"/>
        </w:rPr>
      </w:pPr>
      <w:r>
        <w:rPr>
          <w:rFonts w:hint="eastAsia" w:ascii="仿宋_GB2312" w:hAnsi="宋体" w:eastAsia="仿宋_GB2312" w:cs="Arial"/>
          <w:kern w:val="0"/>
          <w:sz w:val="32"/>
          <w:szCs w:val="32"/>
        </w:rPr>
        <w:t>（二）票据承兑担保；</w:t>
      </w:r>
    </w:p>
    <w:p>
      <w:pPr>
        <w:widowControl/>
        <w:shd w:val="clear" w:color="auto" w:fill="FFFFFF"/>
        <w:spacing w:line="540" w:lineRule="exact"/>
        <w:ind w:firstLine="640"/>
        <w:jc w:val="left"/>
        <w:rPr>
          <w:rFonts w:hint="eastAsia" w:ascii="仿宋_GB2312" w:hAnsi="宋体" w:eastAsia="仿宋_GB2312" w:cs="Arial"/>
          <w:kern w:val="0"/>
          <w:sz w:val="32"/>
          <w:szCs w:val="32"/>
        </w:rPr>
      </w:pPr>
      <w:r>
        <w:rPr>
          <w:rFonts w:hint="eastAsia" w:ascii="仿宋_GB2312" w:hAnsi="宋体" w:eastAsia="仿宋_GB2312" w:cs="Arial"/>
          <w:kern w:val="0"/>
          <w:sz w:val="32"/>
          <w:szCs w:val="32"/>
        </w:rPr>
        <w:t>（三）贸易融资担保；</w:t>
      </w:r>
    </w:p>
    <w:p>
      <w:pPr>
        <w:widowControl/>
        <w:shd w:val="clear" w:color="auto" w:fill="FFFFFF"/>
        <w:spacing w:line="540" w:lineRule="exact"/>
        <w:ind w:firstLine="640"/>
        <w:jc w:val="left"/>
        <w:rPr>
          <w:rFonts w:hint="eastAsia" w:ascii="仿宋_GB2312" w:hAnsi="宋体" w:eastAsia="仿宋_GB2312" w:cs="Arial"/>
          <w:kern w:val="0"/>
          <w:sz w:val="32"/>
          <w:szCs w:val="32"/>
        </w:rPr>
      </w:pPr>
      <w:r>
        <w:rPr>
          <w:rFonts w:hint="eastAsia" w:ascii="仿宋_GB2312" w:hAnsi="宋体" w:eastAsia="仿宋_GB2312" w:cs="Arial"/>
          <w:kern w:val="0"/>
          <w:sz w:val="32"/>
          <w:szCs w:val="32"/>
        </w:rPr>
        <w:t>（四）项目融资担保；</w:t>
      </w:r>
    </w:p>
    <w:p>
      <w:pPr>
        <w:widowControl/>
        <w:shd w:val="clear" w:color="auto" w:fill="FFFFFF"/>
        <w:spacing w:line="540" w:lineRule="exact"/>
        <w:ind w:firstLine="640"/>
        <w:jc w:val="left"/>
        <w:rPr>
          <w:rFonts w:hint="eastAsia" w:ascii="仿宋_GB2312" w:hAnsi="宋体" w:eastAsia="仿宋_GB2312" w:cs="Arial"/>
          <w:kern w:val="0"/>
          <w:sz w:val="32"/>
          <w:szCs w:val="32"/>
        </w:rPr>
      </w:pPr>
      <w:r>
        <w:rPr>
          <w:rFonts w:hint="eastAsia" w:ascii="仿宋_GB2312" w:hAnsi="宋体" w:eastAsia="仿宋_GB2312" w:cs="Arial"/>
          <w:kern w:val="0"/>
          <w:sz w:val="32"/>
          <w:szCs w:val="32"/>
        </w:rPr>
        <w:t>（五）信用证担保；</w:t>
      </w:r>
    </w:p>
    <w:p>
      <w:pPr>
        <w:widowControl/>
        <w:shd w:val="clear" w:color="auto" w:fill="FFFFFF"/>
        <w:spacing w:line="540" w:lineRule="exact"/>
        <w:ind w:firstLine="640"/>
        <w:jc w:val="left"/>
        <w:rPr>
          <w:rFonts w:hint="eastAsia" w:ascii="仿宋_GB2312" w:hAnsi="宋体" w:eastAsia="仿宋_GB2312" w:cs="Arial"/>
          <w:kern w:val="0"/>
          <w:sz w:val="32"/>
          <w:szCs w:val="32"/>
        </w:rPr>
      </w:pPr>
      <w:r>
        <w:rPr>
          <w:rFonts w:hint="eastAsia" w:ascii="仿宋_GB2312" w:hAnsi="宋体" w:eastAsia="仿宋_GB2312" w:cs="Arial"/>
          <w:kern w:val="0"/>
          <w:sz w:val="32"/>
          <w:szCs w:val="32"/>
        </w:rPr>
        <w:t>（六）其他融资性担保业务。</w:t>
      </w:r>
    </w:p>
    <w:p>
      <w:pPr>
        <w:widowControl/>
        <w:shd w:val="clear" w:color="auto" w:fill="FFFFFF"/>
        <w:spacing w:line="540" w:lineRule="exact"/>
        <w:ind w:firstLine="640"/>
        <w:jc w:val="left"/>
        <w:rPr>
          <w:rFonts w:hint="eastAsia" w:ascii="仿宋_GB2312" w:hAnsi="宋体" w:eastAsia="仿宋_GB2312" w:cs="Arial"/>
          <w:kern w:val="0"/>
          <w:sz w:val="32"/>
          <w:szCs w:val="32"/>
        </w:rPr>
      </w:pPr>
      <w:r>
        <w:rPr>
          <w:rFonts w:hint="eastAsia" w:ascii="仿宋_GB2312" w:hAnsi="宋体" w:eastAsia="仿宋_GB2312" w:cs="Arial"/>
          <w:b/>
          <w:bCs/>
          <w:kern w:val="0"/>
          <w:sz w:val="32"/>
          <w:szCs w:val="32"/>
        </w:rPr>
        <w:t>第七条</w:t>
      </w:r>
      <w:r>
        <w:rPr>
          <w:rFonts w:hint="eastAsia" w:ascii="仿宋_GB2312" w:hAnsi="宋体" w:eastAsia="仿宋_GB2312" w:cs="Arial"/>
          <w:kern w:val="0"/>
          <w:sz w:val="32"/>
          <w:szCs w:val="32"/>
        </w:rPr>
        <w:t>　经监管部门批准，担保资金可以用于兼营下列部分或全部融资性担保业务：</w:t>
      </w:r>
    </w:p>
    <w:p>
      <w:pPr>
        <w:widowControl/>
        <w:shd w:val="clear" w:color="auto" w:fill="FFFFFF"/>
        <w:spacing w:line="540" w:lineRule="exact"/>
        <w:ind w:firstLine="640"/>
        <w:rPr>
          <w:rFonts w:hint="eastAsia" w:ascii="仿宋_GB2312" w:hAnsi="宋体" w:eastAsia="仿宋_GB2312" w:cs="Arial"/>
          <w:kern w:val="0"/>
          <w:sz w:val="32"/>
          <w:szCs w:val="32"/>
        </w:rPr>
      </w:pPr>
      <w:r>
        <w:rPr>
          <w:rFonts w:hint="eastAsia" w:ascii="仿宋_GB2312" w:hAnsi="宋体" w:eastAsia="仿宋_GB2312" w:cs="Arial"/>
          <w:kern w:val="0"/>
          <w:sz w:val="32"/>
          <w:szCs w:val="32"/>
        </w:rPr>
        <w:t>（一）投标担保、工程担保、财产保全担保等履约担保业务及其他非融资担保业务；</w:t>
      </w:r>
    </w:p>
    <w:p>
      <w:pPr>
        <w:widowControl/>
        <w:shd w:val="clear" w:color="auto" w:fill="FFFFFF"/>
        <w:spacing w:line="540" w:lineRule="exact"/>
        <w:ind w:firstLine="640"/>
        <w:jc w:val="left"/>
        <w:rPr>
          <w:rFonts w:hint="eastAsia" w:ascii="仿宋_GB2312" w:hAnsi="宋体" w:eastAsia="仿宋_GB2312" w:cs="Arial"/>
          <w:kern w:val="0"/>
          <w:sz w:val="32"/>
          <w:szCs w:val="32"/>
        </w:rPr>
      </w:pPr>
      <w:r>
        <w:rPr>
          <w:rFonts w:hint="eastAsia" w:ascii="仿宋_GB2312" w:hAnsi="宋体" w:eastAsia="仿宋_GB2312" w:cs="Arial"/>
          <w:kern w:val="0"/>
          <w:sz w:val="32"/>
          <w:szCs w:val="32"/>
        </w:rPr>
        <w:t>（二）与担保业务有关的融资咨询、财务顾问等中介服务；</w:t>
      </w:r>
    </w:p>
    <w:p>
      <w:pPr>
        <w:widowControl/>
        <w:shd w:val="clear" w:color="auto" w:fill="FFFFFF"/>
        <w:spacing w:line="540" w:lineRule="exact"/>
        <w:ind w:firstLine="640"/>
        <w:jc w:val="left"/>
        <w:rPr>
          <w:rFonts w:hint="eastAsia" w:ascii="仿宋_GB2312" w:hAnsi="宋体" w:eastAsia="仿宋_GB2312" w:cs="Arial"/>
          <w:kern w:val="0"/>
          <w:sz w:val="32"/>
          <w:szCs w:val="32"/>
        </w:rPr>
      </w:pPr>
      <w:r>
        <w:rPr>
          <w:rFonts w:hint="eastAsia" w:ascii="仿宋_GB2312" w:hAnsi="宋体" w:eastAsia="仿宋_GB2312" w:cs="Arial"/>
          <w:kern w:val="0"/>
          <w:sz w:val="32"/>
          <w:szCs w:val="32"/>
        </w:rPr>
        <w:t>（三）以自有资金进行的资金运用；</w:t>
      </w:r>
    </w:p>
    <w:p>
      <w:pPr>
        <w:widowControl/>
        <w:shd w:val="clear" w:color="auto" w:fill="FFFFFF"/>
        <w:spacing w:line="540" w:lineRule="exact"/>
        <w:ind w:firstLine="640"/>
        <w:jc w:val="left"/>
        <w:rPr>
          <w:rFonts w:hint="eastAsia" w:ascii="仿宋_GB2312" w:hAnsi="宋体" w:eastAsia="仿宋_GB2312" w:cs="Arial"/>
          <w:kern w:val="0"/>
          <w:sz w:val="32"/>
          <w:szCs w:val="32"/>
        </w:rPr>
      </w:pPr>
      <w:r>
        <w:rPr>
          <w:rFonts w:hint="eastAsia" w:ascii="仿宋_GB2312" w:hAnsi="宋体" w:eastAsia="仿宋_GB2312" w:cs="Arial"/>
          <w:kern w:val="0"/>
          <w:sz w:val="32"/>
          <w:szCs w:val="32"/>
        </w:rPr>
        <w:t>（四）监督管理部门规定的其他业务。</w:t>
      </w:r>
    </w:p>
    <w:p>
      <w:pPr>
        <w:widowControl/>
        <w:shd w:val="clear" w:color="auto" w:fill="FFFFFF"/>
        <w:spacing w:before="240" w:after="240" w:line="540" w:lineRule="exact"/>
        <w:jc w:val="center"/>
        <w:outlineLvl w:val="2"/>
        <w:rPr>
          <w:rFonts w:hint="eastAsia" w:ascii="宋体" w:hAnsi="宋体" w:cs="Arial"/>
          <w:b/>
          <w:bCs/>
          <w:kern w:val="0"/>
          <w:sz w:val="32"/>
          <w:szCs w:val="32"/>
        </w:rPr>
      </w:pPr>
    </w:p>
    <w:p>
      <w:pPr>
        <w:widowControl/>
        <w:shd w:val="clear" w:color="auto" w:fill="FFFFFF"/>
        <w:spacing w:before="240" w:after="240" w:line="540" w:lineRule="exact"/>
        <w:jc w:val="center"/>
        <w:outlineLvl w:val="2"/>
        <w:rPr>
          <w:rFonts w:hint="eastAsia" w:ascii="黑体" w:hAnsi="宋体" w:eastAsia="黑体" w:cs="Arial"/>
          <w:bCs/>
          <w:kern w:val="0"/>
          <w:sz w:val="32"/>
          <w:szCs w:val="32"/>
        </w:rPr>
      </w:pPr>
      <w:r>
        <w:rPr>
          <w:rFonts w:hint="eastAsia" w:ascii="黑体" w:hAnsi="宋体" w:eastAsia="黑体" w:cs="Arial"/>
          <w:bCs/>
          <w:kern w:val="0"/>
          <w:sz w:val="32"/>
          <w:szCs w:val="32"/>
        </w:rPr>
        <w:t>第三章  农业担保资金的管理</w:t>
      </w:r>
    </w:p>
    <w:p>
      <w:pPr>
        <w:widowControl/>
        <w:shd w:val="clear" w:color="auto" w:fill="FFFFFF"/>
        <w:spacing w:line="540" w:lineRule="exact"/>
        <w:ind w:firstLine="650"/>
        <w:rPr>
          <w:rFonts w:hint="eastAsia" w:ascii="仿宋_GB2312" w:hAnsi="宋体" w:eastAsia="仿宋_GB2312" w:cs="Arial"/>
          <w:kern w:val="0"/>
          <w:sz w:val="32"/>
          <w:szCs w:val="32"/>
        </w:rPr>
      </w:pPr>
      <w:r>
        <w:rPr>
          <w:rFonts w:hint="eastAsia" w:ascii="仿宋_GB2312" w:hAnsi="宋体" w:eastAsia="仿宋_GB2312" w:cs="Arial"/>
          <w:b/>
          <w:bCs/>
          <w:kern w:val="0"/>
          <w:sz w:val="32"/>
          <w:szCs w:val="32"/>
        </w:rPr>
        <w:t>第八条</w:t>
      </w:r>
      <w:r>
        <w:rPr>
          <w:rFonts w:hint="eastAsia" w:ascii="仿宋_GB2312" w:hAnsi="宋体" w:eastAsia="仿宋_GB2312" w:cs="Arial"/>
          <w:kern w:val="0"/>
          <w:sz w:val="32"/>
          <w:szCs w:val="32"/>
        </w:rPr>
        <w:t>　市农担公司应当建立符合审慎经营原则的担保评估制度、决策程序、事后追偿和处置制度、风险预警机制和突发事件应急机制，并制定严格规范的业务操作规程，加强对担保项目的风险评估和管理，确保农业担保资金安全。</w:t>
      </w:r>
    </w:p>
    <w:p>
      <w:pPr>
        <w:widowControl/>
        <w:shd w:val="clear" w:color="auto" w:fill="FFFFFF"/>
        <w:spacing w:line="540" w:lineRule="exact"/>
        <w:ind w:firstLine="670"/>
        <w:rPr>
          <w:rFonts w:hint="eastAsia" w:ascii="仿宋_GB2312" w:hAnsi="宋体" w:eastAsia="仿宋_GB2312" w:cs="Arial"/>
          <w:kern w:val="0"/>
          <w:sz w:val="32"/>
          <w:szCs w:val="32"/>
        </w:rPr>
      </w:pPr>
      <w:bookmarkStart w:id="4" w:name="5"/>
      <w:r>
        <w:rPr>
          <w:rFonts w:hint="eastAsia" w:ascii="仿宋_GB2312" w:hAnsi="宋体" w:eastAsia="仿宋_GB2312" w:cs="Arial"/>
          <w:b/>
          <w:bCs/>
          <w:kern w:val="0"/>
          <w:sz w:val="32"/>
          <w:szCs w:val="32"/>
        </w:rPr>
        <w:t>第九条</w:t>
      </w:r>
      <w:bookmarkEnd w:id="4"/>
      <w:r>
        <w:rPr>
          <w:rFonts w:hint="eastAsia" w:ascii="仿宋_GB2312" w:hAnsi="宋体" w:eastAsia="仿宋_GB2312" w:cs="Arial"/>
          <w:kern w:val="0"/>
          <w:sz w:val="32"/>
          <w:szCs w:val="32"/>
        </w:rPr>
        <w:t>　市农担公司开展业务应遵守法律、法规和有关部门规章，不得损害国家利益和社会公共利益，注意保护客户隐秘，不得利用客户提供的信息从事任何与担保业务无关或有损客户利益的活动。农担公司开展的担保业务活动不受任何机关、单位和个人的干涉。</w:t>
      </w:r>
    </w:p>
    <w:p>
      <w:pPr>
        <w:widowControl/>
        <w:shd w:val="clear" w:color="auto" w:fill="FFFFFF"/>
        <w:spacing w:line="540" w:lineRule="exact"/>
        <w:ind w:firstLine="670"/>
        <w:rPr>
          <w:rFonts w:hint="eastAsia" w:ascii="仿宋_GB2312" w:hAnsi="宋体" w:eastAsia="仿宋_GB2312" w:cs="Arial"/>
          <w:kern w:val="0"/>
          <w:sz w:val="32"/>
          <w:szCs w:val="32"/>
        </w:rPr>
      </w:pPr>
      <w:r>
        <w:rPr>
          <w:rFonts w:hint="eastAsia" w:ascii="仿宋_GB2312" w:hAnsi="宋体" w:eastAsia="仿宋_GB2312" w:cs="Arial"/>
          <w:b/>
          <w:bCs/>
          <w:kern w:val="0"/>
          <w:sz w:val="32"/>
          <w:szCs w:val="32"/>
        </w:rPr>
        <w:t>第十条</w:t>
      </w:r>
      <w:r>
        <w:rPr>
          <w:rFonts w:hint="eastAsia" w:ascii="仿宋_GB2312" w:hAnsi="宋体" w:eastAsia="仿宋_GB2312" w:cs="Arial"/>
          <w:kern w:val="0"/>
          <w:sz w:val="32"/>
          <w:szCs w:val="32"/>
        </w:rPr>
        <w:t xml:space="preserve">  市农担公司可以根据项目风险情况积极采取反担保措施。对信用记录良好、发展潜力较大、涉农重点支持项目可适当降低反担保门槛。</w:t>
      </w:r>
    </w:p>
    <w:p>
      <w:pPr>
        <w:widowControl/>
        <w:shd w:val="clear" w:color="auto" w:fill="FFFFFF"/>
        <w:spacing w:line="540" w:lineRule="exact"/>
        <w:ind w:firstLine="640"/>
        <w:rPr>
          <w:rFonts w:hint="eastAsia" w:ascii="仿宋_GB2312" w:hAnsi="宋体" w:eastAsia="仿宋_GB2312" w:cs="Arial"/>
          <w:kern w:val="0"/>
          <w:sz w:val="32"/>
          <w:szCs w:val="32"/>
        </w:rPr>
      </w:pPr>
      <w:r>
        <w:rPr>
          <w:rFonts w:hint="eastAsia" w:ascii="仿宋_GB2312" w:hAnsi="宋体" w:eastAsia="仿宋_GB2312" w:cs="Arial"/>
          <w:b/>
          <w:bCs/>
          <w:kern w:val="0"/>
          <w:sz w:val="32"/>
          <w:szCs w:val="32"/>
        </w:rPr>
        <w:t>第十一条</w:t>
      </w:r>
      <w:r>
        <w:rPr>
          <w:rFonts w:hint="eastAsia" w:ascii="仿宋_GB2312" w:hAnsi="宋体" w:eastAsia="仿宋_GB2312" w:cs="Arial"/>
          <w:kern w:val="0"/>
          <w:sz w:val="32"/>
          <w:szCs w:val="32"/>
        </w:rPr>
        <w:t xml:space="preserve">  市农担公司的担保责任余额不得超过市农担公司净资产的10倍。对单个被担保人提供的担保责任余额原则上不超过净资产的10%，对单个被担保人及其关联方提供的担保责任余额原则上不超过净资产的15%，对单个被担保人债券发行提供的担保责任余额不得超过净资产的30%。</w:t>
      </w:r>
    </w:p>
    <w:p>
      <w:pPr>
        <w:spacing w:line="540" w:lineRule="exact"/>
        <w:ind w:firstLine="630" w:firstLineChars="196"/>
        <w:rPr>
          <w:rFonts w:hint="eastAsia" w:ascii="仿宋_GB2312" w:hAnsi="宋体" w:eastAsia="仿宋_GB2312" w:cs="Arial"/>
          <w:kern w:val="0"/>
          <w:sz w:val="32"/>
          <w:szCs w:val="32"/>
        </w:rPr>
      </w:pPr>
      <w:r>
        <w:rPr>
          <w:rFonts w:hint="eastAsia" w:ascii="仿宋_GB2312" w:hAnsi="宋体" w:eastAsia="仿宋_GB2312" w:cs="Arial"/>
          <w:b/>
          <w:bCs/>
          <w:kern w:val="0"/>
          <w:sz w:val="32"/>
          <w:szCs w:val="32"/>
        </w:rPr>
        <w:t>第十二条</w:t>
      </w:r>
      <w:r>
        <w:rPr>
          <w:rFonts w:hint="eastAsia" w:ascii="仿宋_GB2312" w:hAnsi="宋体" w:eastAsia="仿宋_GB2312" w:cs="Arial"/>
          <w:kern w:val="0"/>
          <w:sz w:val="32"/>
          <w:szCs w:val="32"/>
        </w:rPr>
        <w:t>　市农担公司年度涉农担保业务占总体担保业务比重应不低于70%，涉农项目年度平均担保额度（年度新增担保额与新增担保笔数之比）原则上不超过500万元。对涉农项目和其他项目实行差别化的担保费用收取机制，并根据担保项目的风险程度实行浮动费率。涉农项目担保费率不高于2%，充分体现政策性担保公司惠农作用，其他项目担保费率由市农担公司在符合国家有关规定情况下与被担保人自主协商确定。</w:t>
      </w:r>
    </w:p>
    <w:p>
      <w:pPr>
        <w:widowControl/>
        <w:shd w:val="clear" w:color="auto" w:fill="FFFFFF"/>
        <w:spacing w:line="540" w:lineRule="exact"/>
        <w:ind w:firstLine="641"/>
        <w:rPr>
          <w:rFonts w:hint="eastAsia" w:ascii="仿宋_GB2312" w:hAnsi="宋体" w:eastAsia="仿宋_GB2312" w:cs="Arial"/>
          <w:kern w:val="0"/>
          <w:sz w:val="32"/>
          <w:szCs w:val="32"/>
        </w:rPr>
      </w:pPr>
      <w:r>
        <w:rPr>
          <w:rFonts w:hint="eastAsia" w:ascii="仿宋_GB2312" w:hAnsi="宋体" w:eastAsia="仿宋_GB2312" w:cs="Arial"/>
          <w:b/>
          <w:bCs/>
          <w:kern w:val="0"/>
          <w:sz w:val="32"/>
          <w:szCs w:val="32"/>
        </w:rPr>
        <w:t>第十三条</w:t>
      </w:r>
      <w:r>
        <w:rPr>
          <w:rFonts w:hint="eastAsia" w:ascii="仿宋_GB2312" w:hAnsi="宋体" w:eastAsia="仿宋_GB2312" w:cs="Arial"/>
          <w:kern w:val="0"/>
          <w:sz w:val="32"/>
          <w:szCs w:val="32"/>
        </w:rPr>
        <w:t>　市农担公司应当按照当年担保费收入的50%提取未到期责任准备金，并按不低于当年年末担保责任余额1%的比例提取担保赔偿准备金，按照税后利润的10%提取一般风险准备金。税前计提的两金（未到期责任准备金和担保赔偿准备金）依据财政部、工信部、农业部、国家税务总局等相关政策执行。</w:t>
      </w:r>
    </w:p>
    <w:p>
      <w:pPr>
        <w:widowControl/>
        <w:shd w:val="clear" w:color="auto" w:fill="FFFFFF"/>
        <w:spacing w:line="540" w:lineRule="exact"/>
        <w:ind w:firstLine="670"/>
        <w:rPr>
          <w:rFonts w:hint="eastAsia" w:ascii="仿宋_GB2312" w:hAnsi="宋体" w:eastAsia="仿宋_GB2312" w:cs="Arial"/>
          <w:kern w:val="0"/>
          <w:sz w:val="32"/>
          <w:szCs w:val="32"/>
        </w:rPr>
      </w:pPr>
      <w:bookmarkStart w:id="5" w:name="13"/>
      <w:r>
        <w:rPr>
          <w:rFonts w:hint="eastAsia" w:ascii="仿宋_GB2312" w:hAnsi="宋体" w:eastAsia="仿宋_GB2312" w:cs="Arial"/>
          <w:b/>
          <w:bCs/>
          <w:kern w:val="0"/>
          <w:sz w:val="32"/>
          <w:szCs w:val="32"/>
        </w:rPr>
        <w:t>第十四条</w:t>
      </w:r>
      <w:bookmarkEnd w:id="5"/>
      <w:r>
        <w:rPr>
          <w:rFonts w:hint="eastAsia" w:ascii="仿宋_GB2312" w:hAnsi="宋体" w:eastAsia="仿宋_GB2312" w:cs="Arial"/>
          <w:kern w:val="0"/>
          <w:sz w:val="32"/>
          <w:szCs w:val="32"/>
        </w:rPr>
        <w:t>　农业担保资金可以适时吸收其他社会资本，通过入资市农担公司股权、由市农担公司托管等形式扩大农业担保资金规模，但非财政性资金占农担公司资本股份不得超过20%。</w:t>
      </w:r>
    </w:p>
    <w:p>
      <w:pPr>
        <w:widowControl/>
        <w:shd w:val="clear" w:color="auto" w:fill="FFFFFF"/>
        <w:spacing w:line="540" w:lineRule="exact"/>
        <w:ind w:firstLine="640"/>
        <w:rPr>
          <w:rFonts w:hint="eastAsia" w:ascii="仿宋_GB2312" w:hAnsi="宋体" w:eastAsia="仿宋_GB2312" w:cs="Arial"/>
          <w:kern w:val="0"/>
          <w:sz w:val="32"/>
          <w:szCs w:val="32"/>
        </w:rPr>
      </w:pPr>
      <w:bookmarkStart w:id="6" w:name="6"/>
      <w:r>
        <w:rPr>
          <w:rFonts w:hint="eastAsia" w:ascii="仿宋_GB2312" w:hAnsi="宋体" w:eastAsia="仿宋_GB2312" w:cs="Arial"/>
          <w:b/>
          <w:bCs/>
          <w:kern w:val="0"/>
          <w:sz w:val="32"/>
          <w:szCs w:val="32"/>
        </w:rPr>
        <w:t>第十五条</w:t>
      </w:r>
      <w:bookmarkEnd w:id="6"/>
      <w:r>
        <w:rPr>
          <w:rFonts w:hint="eastAsia" w:ascii="仿宋_GB2312" w:hAnsi="宋体" w:eastAsia="仿宋_GB2312" w:cs="Arial"/>
          <w:kern w:val="0"/>
          <w:sz w:val="32"/>
          <w:szCs w:val="32"/>
        </w:rPr>
        <w:t>　市农担公司应遵循安全性、流动性、效益性的原则运用资金。市农担公司以自有资金进行投资，限于国债、金融债券及大型企业债务融资工具等信用等级较高的固定收益类金融产品（包括直接投资及通过基金、券商、信托、基金子公司等金融机构的间接投资）以及不存在利益冲突且总额不高于净资产20%的其他投资。严禁投资股票二级市场和向企业或项目直接投资、拆借资金以及赞助。</w:t>
      </w:r>
    </w:p>
    <w:p>
      <w:pPr>
        <w:widowControl/>
        <w:shd w:val="clear" w:color="auto" w:fill="FFFFFF"/>
        <w:spacing w:line="540" w:lineRule="exact"/>
        <w:ind w:firstLine="640"/>
        <w:rPr>
          <w:rFonts w:hint="eastAsia" w:ascii="仿宋_GB2312" w:hAnsi="宋体" w:eastAsia="仿宋_GB2312" w:cs="Arial"/>
          <w:kern w:val="0"/>
          <w:sz w:val="32"/>
          <w:szCs w:val="32"/>
        </w:rPr>
      </w:pPr>
      <w:bookmarkStart w:id="7" w:name="16"/>
      <w:r>
        <w:rPr>
          <w:rFonts w:hint="eastAsia" w:ascii="仿宋_GB2312" w:hAnsi="宋体" w:eastAsia="仿宋_GB2312" w:cs="Arial"/>
          <w:b/>
          <w:bCs/>
          <w:kern w:val="0"/>
          <w:sz w:val="32"/>
          <w:szCs w:val="32"/>
        </w:rPr>
        <w:t>第十六条</w:t>
      </w:r>
      <w:bookmarkEnd w:id="7"/>
      <w:r>
        <w:rPr>
          <w:rFonts w:hint="eastAsia" w:ascii="仿宋_GB2312" w:hAnsi="宋体" w:eastAsia="仿宋_GB2312" w:cs="Arial"/>
          <w:kern w:val="0"/>
          <w:sz w:val="32"/>
          <w:szCs w:val="32"/>
        </w:rPr>
        <w:t>　农业担保资金收益，在适当时候由市农担公司按各出资方比例进行分配（分配方案另行制定）。其中市财政出资收益优先用于补充市级风险救助准备金，风险救助准备金达到规模上限后，可用于补充农业担保资金以及经市财政批准的其他事项。</w:t>
      </w:r>
    </w:p>
    <w:p>
      <w:pPr>
        <w:widowControl/>
        <w:shd w:val="clear" w:color="auto" w:fill="FFFFFF"/>
        <w:spacing w:line="540" w:lineRule="exact"/>
        <w:ind w:firstLine="640"/>
        <w:rPr>
          <w:rFonts w:hint="eastAsia" w:ascii="仿宋_GB2312" w:hAnsi="宋体" w:eastAsia="仿宋_GB2312" w:cs="Arial"/>
          <w:kern w:val="0"/>
          <w:sz w:val="32"/>
          <w:szCs w:val="32"/>
        </w:rPr>
      </w:pPr>
      <w:r>
        <w:rPr>
          <w:rFonts w:hint="eastAsia" w:ascii="仿宋_GB2312" w:hAnsi="宋体" w:eastAsia="仿宋_GB2312" w:cs="Arial"/>
          <w:b/>
          <w:bCs/>
          <w:kern w:val="0"/>
          <w:sz w:val="32"/>
          <w:szCs w:val="32"/>
        </w:rPr>
        <w:t xml:space="preserve">第十七条  </w:t>
      </w:r>
      <w:r>
        <w:rPr>
          <w:rFonts w:hint="eastAsia" w:ascii="仿宋_GB2312" w:hAnsi="宋体" w:eastAsia="仿宋_GB2312" w:cs="Arial"/>
          <w:kern w:val="0"/>
          <w:sz w:val="32"/>
          <w:szCs w:val="32"/>
        </w:rPr>
        <w:t>市农担公司应建立财务会计报告及担保业务统计报告制度。按月向市财政局报送担保业务统计报告，按季、年向市财政局报送财务会计报告。担保业务统计报告包括：当月担保业务情况、累计担保业务情况、风险代偿追偿情况、全年预计完成情况及其他市财政局认为需要报告等内容；财务会计报告包括会计报表（资产负债表、利润表、现金流量表及相关附表）、会计报表附注和财务情况说明书。</w:t>
      </w:r>
    </w:p>
    <w:p>
      <w:pPr>
        <w:widowControl/>
        <w:shd w:val="clear" w:color="auto" w:fill="FFFFFF"/>
        <w:spacing w:line="540" w:lineRule="exact"/>
        <w:ind w:firstLine="645"/>
        <w:jc w:val="left"/>
        <w:rPr>
          <w:rFonts w:hint="eastAsia" w:ascii="仿宋_GB2312" w:hAnsi="宋体" w:eastAsia="仿宋_GB2312" w:cs="Arial"/>
          <w:kern w:val="0"/>
          <w:sz w:val="32"/>
          <w:szCs w:val="32"/>
        </w:rPr>
      </w:pPr>
      <w:bookmarkStart w:id="8" w:name="18"/>
      <w:r>
        <w:rPr>
          <w:rFonts w:hint="eastAsia" w:ascii="仿宋_GB2312" w:hAnsi="宋体" w:eastAsia="仿宋_GB2312" w:cs="Arial"/>
          <w:b/>
          <w:bCs/>
          <w:kern w:val="0"/>
          <w:sz w:val="32"/>
          <w:szCs w:val="32"/>
        </w:rPr>
        <w:t>第十八条</w:t>
      </w:r>
      <w:bookmarkEnd w:id="8"/>
      <w:r>
        <w:rPr>
          <w:rFonts w:hint="eastAsia" w:ascii="仿宋_GB2312" w:hAnsi="宋体" w:eastAsia="仿宋_GB2312" w:cs="Arial"/>
          <w:kern w:val="0"/>
          <w:sz w:val="32"/>
          <w:szCs w:val="32"/>
        </w:rPr>
        <w:t>　市农担公司于次年3月底前将上年度财务会计报告（决算），连同会计师事务所的审计报告，以及上年度的担保业务统计报告报送市财政局备案。</w:t>
      </w:r>
    </w:p>
    <w:p>
      <w:pPr>
        <w:widowControl/>
        <w:shd w:val="clear" w:color="auto" w:fill="FFFFFF"/>
        <w:spacing w:line="540" w:lineRule="exact"/>
        <w:ind w:firstLine="645"/>
        <w:jc w:val="left"/>
        <w:rPr>
          <w:rFonts w:hint="eastAsia" w:ascii="仿宋_GB2312" w:hAnsi="宋体" w:eastAsia="仿宋_GB2312" w:cs="Arial"/>
          <w:kern w:val="0"/>
          <w:sz w:val="32"/>
          <w:szCs w:val="32"/>
        </w:rPr>
      </w:pPr>
    </w:p>
    <w:p>
      <w:pPr>
        <w:widowControl/>
        <w:shd w:val="clear" w:color="auto" w:fill="FFFFFF"/>
        <w:spacing w:before="240" w:after="240" w:line="540" w:lineRule="exact"/>
        <w:jc w:val="center"/>
        <w:outlineLvl w:val="2"/>
        <w:rPr>
          <w:rFonts w:hint="eastAsia" w:ascii="黑体" w:hAnsi="宋体" w:eastAsia="黑体" w:cs="Arial"/>
          <w:bCs/>
          <w:kern w:val="0"/>
          <w:sz w:val="32"/>
          <w:szCs w:val="32"/>
        </w:rPr>
      </w:pPr>
      <w:r>
        <w:rPr>
          <w:rFonts w:hint="eastAsia" w:ascii="黑体" w:hAnsi="宋体" w:eastAsia="黑体" w:cs="Arial"/>
          <w:bCs/>
          <w:kern w:val="0"/>
          <w:sz w:val="32"/>
          <w:szCs w:val="32"/>
        </w:rPr>
        <w:t>第四章　增资和补偿机制</w:t>
      </w:r>
    </w:p>
    <w:p>
      <w:pPr>
        <w:widowControl/>
        <w:shd w:val="clear" w:color="auto" w:fill="FFFFFF"/>
        <w:spacing w:line="540" w:lineRule="exact"/>
        <w:jc w:val="left"/>
        <w:rPr>
          <w:rFonts w:hint="eastAsia" w:ascii="仿宋_GB2312" w:hAnsi="宋体" w:eastAsia="仿宋_GB2312" w:cs="Arial"/>
          <w:kern w:val="0"/>
          <w:sz w:val="32"/>
          <w:szCs w:val="32"/>
        </w:rPr>
      </w:pPr>
      <w:bookmarkStart w:id="9" w:name="19"/>
      <w:r>
        <w:rPr>
          <w:rFonts w:hint="eastAsia" w:ascii="仿宋_GB2312" w:hAnsi="宋体" w:eastAsia="仿宋_GB2312" w:cs="Arial"/>
          <w:b/>
          <w:bCs/>
          <w:kern w:val="0"/>
          <w:sz w:val="32"/>
          <w:szCs w:val="32"/>
        </w:rPr>
        <w:t>　　第十九条</w:t>
      </w:r>
      <w:bookmarkEnd w:id="9"/>
      <w:r>
        <w:rPr>
          <w:rFonts w:hint="eastAsia" w:ascii="仿宋_GB2312" w:hAnsi="宋体" w:eastAsia="仿宋_GB2312" w:cs="Arial"/>
          <w:kern w:val="0"/>
          <w:sz w:val="32"/>
          <w:szCs w:val="32"/>
        </w:rPr>
        <w:t>　市、区县财政可以根据市农担公司担保业务发展情况，按一定比例适当增资。</w:t>
      </w:r>
    </w:p>
    <w:p>
      <w:pPr>
        <w:widowControl/>
        <w:shd w:val="clear" w:color="auto" w:fill="FFFFFF"/>
        <w:spacing w:line="540" w:lineRule="exact"/>
        <w:ind w:firstLine="641"/>
        <w:rPr>
          <w:rFonts w:hint="eastAsia" w:ascii="仿宋_GB2312" w:hAnsi="宋体" w:eastAsia="仿宋_GB2312" w:cs="Arial"/>
          <w:kern w:val="0"/>
          <w:sz w:val="32"/>
          <w:szCs w:val="32"/>
        </w:rPr>
      </w:pPr>
      <w:bookmarkStart w:id="10" w:name="20"/>
      <w:r>
        <w:rPr>
          <w:rFonts w:hint="eastAsia" w:ascii="仿宋_GB2312" w:hAnsi="宋体" w:eastAsia="仿宋_GB2312" w:cs="Arial"/>
          <w:b/>
          <w:bCs/>
          <w:kern w:val="0"/>
          <w:sz w:val="32"/>
          <w:szCs w:val="32"/>
        </w:rPr>
        <w:t>第二十条</w:t>
      </w:r>
      <w:bookmarkEnd w:id="10"/>
      <w:r>
        <w:rPr>
          <w:rFonts w:hint="eastAsia" w:ascii="仿宋_GB2312" w:hAnsi="宋体" w:eastAsia="仿宋_GB2312" w:cs="Arial"/>
          <w:kern w:val="0"/>
          <w:sz w:val="32"/>
          <w:szCs w:val="32"/>
        </w:rPr>
        <w:t>　市财政建立农业担保资金风险补偿机制。对涉农担保项目发生代偿实行限率补偿，所需风险代偿补助资金列入市级财政预算。当年担保代偿率＝当年发生担保代偿余额/当年年末在保责任余额。</w:t>
      </w:r>
    </w:p>
    <w:p>
      <w:pPr>
        <w:widowControl/>
        <w:shd w:val="clear" w:color="auto" w:fill="FFFFFF"/>
        <w:spacing w:line="540" w:lineRule="exact"/>
        <w:ind w:firstLine="641"/>
        <w:rPr>
          <w:rFonts w:hint="eastAsia" w:ascii="仿宋_GB2312" w:hAnsi="宋体" w:eastAsia="仿宋_GB2312" w:cs="Arial"/>
          <w:kern w:val="0"/>
          <w:sz w:val="32"/>
          <w:szCs w:val="32"/>
        </w:rPr>
      </w:pPr>
      <w:bookmarkStart w:id="11" w:name="21"/>
      <w:r>
        <w:rPr>
          <w:rFonts w:hint="eastAsia" w:ascii="仿宋_GB2312" w:hAnsi="宋体" w:eastAsia="仿宋_GB2312" w:cs="Arial"/>
          <w:b/>
          <w:bCs/>
          <w:kern w:val="0"/>
          <w:sz w:val="32"/>
          <w:szCs w:val="32"/>
        </w:rPr>
        <w:t>第二十一条</w:t>
      </w:r>
      <w:bookmarkEnd w:id="11"/>
      <w:r>
        <w:rPr>
          <w:rFonts w:hint="eastAsia" w:ascii="仿宋_GB2312" w:hAnsi="宋体" w:eastAsia="仿宋_GB2312" w:cs="Arial"/>
          <w:kern w:val="0"/>
          <w:sz w:val="32"/>
          <w:szCs w:val="32"/>
        </w:rPr>
        <w:t>　农业担保资金担保项目发生担保代偿，由市农担公司先行代偿，经市财政局审核认定属于补偿范围的给予财政资金补助，最高补偿比例不超过8%当年担保代偿率。</w:t>
      </w:r>
    </w:p>
    <w:p>
      <w:pPr>
        <w:widowControl/>
        <w:shd w:val="clear" w:color="auto" w:fill="FFFFFF"/>
        <w:spacing w:line="540" w:lineRule="exact"/>
        <w:ind w:firstLine="640"/>
        <w:jc w:val="left"/>
        <w:rPr>
          <w:rFonts w:hint="eastAsia" w:ascii="仿宋_GB2312" w:hAnsi="宋体" w:eastAsia="仿宋_GB2312" w:cs="Arial"/>
          <w:kern w:val="0"/>
          <w:sz w:val="32"/>
          <w:szCs w:val="32"/>
        </w:rPr>
      </w:pPr>
      <w:r>
        <w:rPr>
          <w:rFonts w:hint="eastAsia" w:ascii="仿宋_GB2312" w:hAnsi="宋体" w:eastAsia="仿宋_GB2312" w:cs="Arial"/>
          <w:kern w:val="0"/>
          <w:sz w:val="32"/>
          <w:szCs w:val="32"/>
        </w:rPr>
        <w:t>农业担保资金风险补偿顺序如下：市农担公司3%以下（含3%）当年担保代偿率，市财政局给予全额补偿；市农担公司超过3%当年担保代偿率部分，首先用其提取的担保赔偿准备金抵补，不足且不超过8%当年担保代偿率部分，市财政局按照实际代偿金额再给予补助。</w:t>
      </w:r>
    </w:p>
    <w:p>
      <w:pPr>
        <w:widowControl/>
        <w:shd w:val="clear" w:color="auto" w:fill="FFFFFF"/>
        <w:spacing w:line="540" w:lineRule="exact"/>
        <w:ind w:firstLine="640"/>
        <w:jc w:val="left"/>
        <w:rPr>
          <w:rFonts w:hint="eastAsia" w:ascii="仿宋_GB2312" w:hAnsi="宋体" w:eastAsia="仿宋_GB2312" w:cs="Arial"/>
          <w:kern w:val="0"/>
          <w:sz w:val="32"/>
          <w:szCs w:val="32"/>
        </w:rPr>
      </w:pPr>
      <w:bookmarkStart w:id="12" w:name="22"/>
      <w:r>
        <w:rPr>
          <w:rFonts w:hint="eastAsia" w:ascii="仿宋_GB2312" w:hAnsi="宋体" w:eastAsia="仿宋_GB2312" w:cs="Arial"/>
          <w:b/>
          <w:bCs/>
          <w:kern w:val="0"/>
          <w:sz w:val="32"/>
          <w:szCs w:val="32"/>
        </w:rPr>
        <w:t>第二十二条</w:t>
      </w:r>
      <w:bookmarkEnd w:id="12"/>
      <w:r>
        <w:rPr>
          <w:rFonts w:hint="eastAsia" w:ascii="仿宋_GB2312" w:hAnsi="宋体" w:eastAsia="仿宋_GB2312" w:cs="Arial"/>
          <w:kern w:val="0"/>
          <w:sz w:val="32"/>
          <w:szCs w:val="32"/>
        </w:rPr>
        <w:t>　市农担公司在年度终了后四个月内向市财政局提出补偿担保代偿申请，同时提供以下资料：</w:t>
      </w:r>
    </w:p>
    <w:p>
      <w:pPr>
        <w:widowControl/>
        <w:shd w:val="clear" w:color="auto" w:fill="FFFFFF"/>
        <w:spacing w:line="540" w:lineRule="exact"/>
        <w:ind w:firstLine="641"/>
        <w:rPr>
          <w:rFonts w:hint="eastAsia" w:ascii="仿宋_GB2312" w:hAnsi="宋体" w:eastAsia="仿宋_GB2312" w:cs="Arial"/>
          <w:kern w:val="0"/>
          <w:sz w:val="32"/>
          <w:szCs w:val="32"/>
        </w:rPr>
      </w:pPr>
      <w:r>
        <w:rPr>
          <w:rFonts w:hint="eastAsia" w:ascii="仿宋_GB2312" w:hAnsi="宋体" w:eastAsia="仿宋_GB2312" w:cs="Arial"/>
          <w:kern w:val="0"/>
          <w:sz w:val="32"/>
          <w:szCs w:val="32"/>
        </w:rPr>
        <w:t>（1）上年度担保代偿的有关法律文件，包括：代偿通知书、代偿资金凭据、担保赔偿准备金收支凭据、追偿债权资金情况等；</w:t>
      </w:r>
    </w:p>
    <w:p>
      <w:pPr>
        <w:widowControl/>
        <w:shd w:val="clear" w:color="auto" w:fill="FFFFFF"/>
        <w:spacing w:line="540" w:lineRule="exact"/>
        <w:ind w:firstLine="640"/>
        <w:jc w:val="left"/>
        <w:rPr>
          <w:rFonts w:hint="eastAsia" w:ascii="仿宋_GB2312" w:hAnsi="宋体" w:eastAsia="仿宋_GB2312" w:cs="Arial"/>
          <w:kern w:val="0"/>
          <w:sz w:val="32"/>
          <w:szCs w:val="32"/>
        </w:rPr>
      </w:pPr>
      <w:r>
        <w:rPr>
          <w:rFonts w:hint="eastAsia" w:ascii="仿宋_GB2312" w:hAnsi="宋体" w:eastAsia="仿宋_GB2312" w:cs="Arial"/>
          <w:kern w:val="0"/>
          <w:sz w:val="32"/>
          <w:szCs w:val="32"/>
        </w:rPr>
        <w:t>（2）董事会批准的决算方案、利润分配方案或弥补亏损方案等文件。</w:t>
      </w:r>
    </w:p>
    <w:p>
      <w:pPr>
        <w:widowControl/>
        <w:shd w:val="clear" w:color="auto" w:fill="FFFFFF"/>
        <w:spacing w:line="540" w:lineRule="exact"/>
        <w:ind w:firstLine="640"/>
        <w:jc w:val="left"/>
        <w:rPr>
          <w:rFonts w:hint="eastAsia" w:ascii="仿宋_GB2312" w:hAnsi="宋体" w:eastAsia="仿宋_GB2312" w:cs="Arial"/>
          <w:kern w:val="0"/>
          <w:sz w:val="32"/>
          <w:szCs w:val="32"/>
        </w:rPr>
      </w:pPr>
      <w:r>
        <w:rPr>
          <w:rFonts w:hint="eastAsia" w:ascii="仿宋_GB2312" w:hAnsi="宋体" w:eastAsia="仿宋_GB2312" w:cs="Arial"/>
          <w:kern w:val="0"/>
          <w:sz w:val="32"/>
          <w:szCs w:val="32"/>
        </w:rPr>
        <w:t>市财政局对上述资料审查核对，确定上年度财政应补偿的担保代偿数额后，办理资金拨付手续。</w:t>
      </w:r>
    </w:p>
    <w:p>
      <w:pPr>
        <w:widowControl/>
        <w:shd w:val="clear" w:color="auto" w:fill="FFFFFF"/>
        <w:spacing w:line="540" w:lineRule="exact"/>
        <w:ind w:firstLine="640"/>
        <w:jc w:val="left"/>
        <w:rPr>
          <w:rFonts w:hint="eastAsia" w:ascii="仿宋_GB2312" w:hAnsi="宋体" w:eastAsia="仿宋_GB2312" w:cs="Arial"/>
          <w:kern w:val="0"/>
          <w:sz w:val="32"/>
          <w:szCs w:val="32"/>
        </w:rPr>
      </w:pPr>
      <w:bookmarkStart w:id="13" w:name="23"/>
      <w:r>
        <w:rPr>
          <w:rFonts w:hint="eastAsia" w:ascii="仿宋_GB2312" w:hAnsi="宋体" w:eastAsia="仿宋_GB2312" w:cs="Arial"/>
          <w:b/>
          <w:bCs/>
          <w:kern w:val="0"/>
          <w:sz w:val="32"/>
          <w:szCs w:val="32"/>
        </w:rPr>
        <w:t>第二十三条</w:t>
      </w:r>
      <w:bookmarkEnd w:id="13"/>
      <w:r>
        <w:rPr>
          <w:rFonts w:hint="eastAsia" w:ascii="仿宋_GB2312" w:hAnsi="宋体" w:eastAsia="仿宋_GB2312" w:cs="Arial"/>
          <w:kern w:val="0"/>
          <w:sz w:val="32"/>
          <w:szCs w:val="32"/>
        </w:rPr>
        <w:t>　凡属于下列情形之一发生的代偿，市财政一律不予补偿：</w:t>
      </w:r>
    </w:p>
    <w:p>
      <w:pPr>
        <w:widowControl/>
        <w:shd w:val="clear" w:color="auto" w:fill="FFFFFF"/>
        <w:spacing w:line="540" w:lineRule="exact"/>
        <w:ind w:firstLine="640"/>
        <w:jc w:val="left"/>
        <w:rPr>
          <w:rFonts w:hint="eastAsia" w:ascii="仿宋_GB2312" w:hAnsi="宋体" w:eastAsia="仿宋_GB2312" w:cs="Arial"/>
          <w:kern w:val="0"/>
          <w:sz w:val="32"/>
          <w:szCs w:val="32"/>
        </w:rPr>
      </w:pPr>
      <w:r>
        <w:rPr>
          <w:rFonts w:hint="eastAsia" w:ascii="仿宋_GB2312" w:hAnsi="宋体" w:eastAsia="仿宋_GB2312" w:cs="Arial"/>
          <w:kern w:val="0"/>
          <w:sz w:val="32"/>
          <w:szCs w:val="32"/>
        </w:rPr>
        <w:t>（一）市农担公司未按本办法规定范围、程序等提供担保，造成的担保代偿损失；</w:t>
      </w:r>
    </w:p>
    <w:p>
      <w:pPr>
        <w:widowControl/>
        <w:shd w:val="clear" w:color="auto" w:fill="FFFFFF"/>
        <w:spacing w:line="540" w:lineRule="exact"/>
        <w:ind w:firstLine="640"/>
        <w:jc w:val="left"/>
        <w:rPr>
          <w:rFonts w:hint="eastAsia" w:ascii="仿宋_GB2312" w:hAnsi="宋体" w:eastAsia="仿宋_GB2312" w:cs="Arial"/>
          <w:kern w:val="0"/>
          <w:sz w:val="32"/>
          <w:szCs w:val="32"/>
        </w:rPr>
      </w:pPr>
      <w:r>
        <w:rPr>
          <w:rFonts w:hint="eastAsia" w:ascii="仿宋_GB2312" w:hAnsi="宋体" w:eastAsia="仿宋_GB2312" w:cs="Arial"/>
          <w:kern w:val="0"/>
          <w:sz w:val="32"/>
          <w:szCs w:val="32"/>
        </w:rPr>
        <w:t>（二）因市农担公司业务人员或管理人员重大失职或有徇私舞弊行为造成的代偿；</w:t>
      </w:r>
    </w:p>
    <w:p>
      <w:pPr>
        <w:widowControl/>
        <w:shd w:val="clear" w:color="auto" w:fill="FFFFFF"/>
        <w:spacing w:line="540" w:lineRule="exact"/>
        <w:ind w:firstLine="640"/>
        <w:jc w:val="left"/>
        <w:rPr>
          <w:rFonts w:hint="eastAsia" w:ascii="仿宋_GB2312" w:hAnsi="宋体" w:eastAsia="仿宋_GB2312" w:cs="Arial"/>
          <w:kern w:val="0"/>
          <w:sz w:val="32"/>
          <w:szCs w:val="32"/>
        </w:rPr>
      </w:pPr>
      <w:r>
        <w:rPr>
          <w:rFonts w:hint="eastAsia" w:ascii="仿宋_GB2312" w:hAnsi="宋体" w:eastAsia="仿宋_GB2312" w:cs="Arial"/>
          <w:kern w:val="0"/>
          <w:sz w:val="32"/>
          <w:szCs w:val="32"/>
        </w:rPr>
        <w:t>（三）市农担公司违法、违规行为导致的代偿。</w:t>
      </w:r>
    </w:p>
    <w:p>
      <w:pPr>
        <w:widowControl/>
        <w:shd w:val="clear" w:color="auto" w:fill="FFFFFF"/>
        <w:spacing w:line="540" w:lineRule="exact"/>
        <w:jc w:val="left"/>
        <w:rPr>
          <w:rFonts w:hint="eastAsia" w:ascii="仿宋_GB2312" w:hAnsi="宋体" w:eastAsia="仿宋_GB2312" w:cs="Arial"/>
          <w:kern w:val="0"/>
          <w:sz w:val="32"/>
          <w:szCs w:val="32"/>
        </w:rPr>
      </w:pPr>
      <w:bookmarkStart w:id="14" w:name="24"/>
      <w:r>
        <w:rPr>
          <w:rFonts w:hint="eastAsia" w:ascii="仿宋_GB2312" w:hAnsi="宋体" w:eastAsia="仿宋_GB2312" w:cs="Arial"/>
          <w:b/>
          <w:bCs/>
          <w:kern w:val="0"/>
          <w:sz w:val="32"/>
          <w:szCs w:val="32"/>
        </w:rPr>
        <w:t>　　第二十四条</w:t>
      </w:r>
      <w:bookmarkEnd w:id="14"/>
      <w:r>
        <w:rPr>
          <w:rFonts w:hint="eastAsia" w:ascii="仿宋_GB2312" w:hAnsi="宋体" w:eastAsia="仿宋_GB2312" w:cs="Arial"/>
          <w:kern w:val="0"/>
          <w:sz w:val="32"/>
          <w:szCs w:val="32"/>
        </w:rPr>
        <w:t>　市农担公司在取得代位追偿权后，应积极制定追偿措施并实施追偿，追偿债权所得资金，属于归还市财政补偿资金部分，市农担公司应单独记账，作为以后年度市财政风险代偿补助金的来源，属于担保赔偿准备金、风险救助准备金抵补部分，归还担保赔偿准备金、风险救助准备金。</w:t>
      </w:r>
    </w:p>
    <w:p>
      <w:pPr>
        <w:widowControl/>
        <w:shd w:val="clear" w:color="auto" w:fill="FFFFFF"/>
        <w:spacing w:line="540" w:lineRule="exact"/>
        <w:ind w:firstLine="640"/>
        <w:jc w:val="left"/>
        <w:rPr>
          <w:rFonts w:hint="eastAsia" w:ascii="仿宋_GB2312" w:hAnsi="宋体" w:eastAsia="仿宋_GB2312" w:cs="Arial"/>
          <w:kern w:val="0"/>
          <w:sz w:val="32"/>
          <w:szCs w:val="32"/>
        </w:rPr>
      </w:pPr>
      <w:bookmarkStart w:id="15" w:name="26"/>
      <w:r>
        <w:rPr>
          <w:rFonts w:hint="eastAsia" w:ascii="仿宋_GB2312" w:hAnsi="宋体" w:eastAsia="仿宋_GB2312" w:cs="Arial"/>
          <w:b/>
          <w:bCs/>
          <w:kern w:val="0"/>
          <w:sz w:val="32"/>
          <w:szCs w:val="32"/>
        </w:rPr>
        <w:t>第二十五条</w:t>
      </w:r>
      <w:bookmarkEnd w:id="15"/>
      <w:r>
        <w:rPr>
          <w:rFonts w:hint="eastAsia" w:ascii="仿宋_GB2312" w:hAnsi="宋体" w:eastAsia="仿宋_GB2312" w:cs="Arial"/>
          <w:kern w:val="0"/>
          <w:sz w:val="32"/>
          <w:szCs w:val="32"/>
        </w:rPr>
        <w:t>　代偿项目具有下列情形之一的，由市农担公司提出坏账申请，报市财政审核同意后核销：</w:t>
      </w:r>
    </w:p>
    <w:p>
      <w:pPr>
        <w:widowControl/>
        <w:shd w:val="clear" w:color="auto" w:fill="FFFFFF"/>
        <w:spacing w:line="540" w:lineRule="exact"/>
        <w:ind w:firstLine="640"/>
        <w:jc w:val="left"/>
        <w:rPr>
          <w:rFonts w:hint="eastAsia" w:ascii="仿宋_GB2312" w:hAnsi="宋体" w:eastAsia="仿宋_GB2312" w:cs="Arial"/>
          <w:kern w:val="0"/>
          <w:sz w:val="32"/>
          <w:szCs w:val="32"/>
        </w:rPr>
      </w:pPr>
      <w:r>
        <w:rPr>
          <w:rFonts w:hint="eastAsia" w:ascii="仿宋_GB2312" w:hAnsi="宋体" w:eastAsia="仿宋_GB2312" w:cs="Arial"/>
          <w:kern w:val="0"/>
          <w:sz w:val="32"/>
          <w:szCs w:val="32"/>
        </w:rPr>
        <w:t>（一）被保证人破产或死亡，其破产财产处置收入或遗产处置收入清偿后仍无法收回；</w:t>
      </w:r>
    </w:p>
    <w:p>
      <w:pPr>
        <w:widowControl/>
        <w:shd w:val="clear" w:color="auto" w:fill="FFFFFF"/>
        <w:spacing w:line="540" w:lineRule="exact"/>
        <w:ind w:firstLine="640"/>
        <w:jc w:val="left"/>
        <w:rPr>
          <w:rFonts w:hint="eastAsia" w:ascii="仿宋_GB2312" w:hAnsi="宋体" w:eastAsia="仿宋_GB2312" w:cs="Arial"/>
          <w:kern w:val="0"/>
          <w:sz w:val="32"/>
          <w:szCs w:val="32"/>
        </w:rPr>
      </w:pPr>
      <w:r>
        <w:rPr>
          <w:rFonts w:hint="eastAsia" w:ascii="仿宋_GB2312" w:hAnsi="宋体" w:eastAsia="仿宋_GB2312" w:cs="Arial"/>
          <w:kern w:val="0"/>
          <w:sz w:val="32"/>
          <w:szCs w:val="32"/>
        </w:rPr>
        <w:t>（二）经申请强制执行法律程序后仍无法收回；</w:t>
      </w:r>
    </w:p>
    <w:p>
      <w:pPr>
        <w:widowControl/>
        <w:shd w:val="clear" w:color="auto" w:fill="FFFFFF"/>
        <w:spacing w:line="540" w:lineRule="exact"/>
        <w:ind w:firstLine="640"/>
        <w:jc w:val="left"/>
        <w:rPr>
          <w:rFonts w:hint="eastAsia" w:ascii="仿宋_GB2312" w:hAnsi="宋体" w:eastAsia="仿宋_GB2312" w:cs="Arial"/>
          <w:kern w:val="0"/>
          <w:sz w:val="32"/>
          <w:szCs w:val="32"/>
        </w:rPr>
      </w:pPr>
      <w:r>
        <w:rPr>
          <w:rFonts w:hint="eastAsia" w:ascii="仿宋_GB2312" w:hAnsi="宋体" w:eastAsia="仿宋_GB2312" w:cs="Arial"/>
          <w:kern w:val="0"/>
          <w:sz w:val="32"/>
          <w:szCs w:val="32"/>
        </w:rPr>
        <w:t>（三）因被保证人逾期未履行偿债义务超过3年仍然不能收回的。</w:t>
      </w:r>
    </w:p>
    <w:p>
      <w:pPr>
        <w:widowControl/>
        <w:shd w:val="clear" w:color="auto" w:fill="FFFFFF"/>
        <w:spacing w:line="540" w:lineRule="exact"/>
        <w:ind w:firstLine="640"/>
        <w:jc w:val="left"/>
        <w:rPr>
          <w:rFonts w:hint="eastAsia" w:ascii="仿宋_GB2312" w:hAnsi="宋体" w:eastAsia="仿宋_GB2312" w:cs="Arial"/>
          <w:kern w:val="0"/>
          <w:sz w:val="32"/>
          <w:szCs w:val="32"/>
        </w:rPr>
      </w:pPr>
      <w:r>
        <w:rPr>
          <w:rFonts w:hint="eastAsia" w:ascii="仿宋_GB2312" w:hAnsi="宋体" w:eastAsia="仿宋_GB2312" w:cs="Arial"/>
          <w:b/>
          <w:bCs/>
          <w:kern w:val="0"/>
          <w:sz w:val="32"/>
          <w:szCs w:val="32"/>
        </w:rPr>
        <w:t>第二十六条</w:t>
      </w:r>
      <w:r>
        <w:rPr>
          <w:rFonts w:hint="eastAsia" w:ascii="仿宋_GB2312" w:hAnsi="宋体" w:eastAsia="仿宋_GB2312" w:cs="Arial"/>
          <w:kern w:val="0"/>
          <w:sz w:val="32"/>
          <w:szCs w:val="32"/>
        </w:rPr>
        <w:t xml:space="preserve">  市农担公司可以根据国家有关规定，享受相关国家税收政策。</w:t>
      </w:r>
    </w:p>
    <w:p>
      <w:pPr>
        <w:widowControl/>
        <w:shd w:val="clear" w:color="auto" w:fill="FFFFFF"/>
        <w:spacing w:line="540" w:lineRule="exact"/>
        <w:ind w:firstLine="640"/>
        <w:jc w:val="left"/>
        <w:rPr>
          <w:rFonts w:hint="eastAsia" w:ascii="仿宋_GB2312" w:hAnsi="宋体" w:eastAsia="仿宋_GB2312" w:cs="Arial"/>
          <w:kern w:val="0"/>
          <w:sz w:val="32"/>
          <w:szCs w:val="32"/>
        </w:rPr>
      </w:pPr>
    </w:p>
    <w:p>
      <w:pPr>
        <w:widowControl/>
        <w:shd w:val="clear" w:color="auto" w:fill="FFFFFF"/>
        <w:spacing w:before="240" w:after="240" w:line="540" w:lineRule="exact"/>
        <w:jc w:val="center"/>
        <w:outlineLvl w:val="2"/>
        <w:rPr>
          <w:rFonts w:hint="eastAsia" w:ascii="黑体" w:hAnsi="宋体" w:eastAsia="黑体" w:cs="Arial"/>
          <w:bCs/>
          <w:kern w:val="0"/>
          <w:sz w:val="32"/>
          <w:szCs w:val="32"/>
        </w:rPr>
      </w:pPr>
      <w:r>
        <w:rPr>
          <w:rFonts w:hint="eastAsia" w:ascii="黑体" w:hAnsi="宋体" w:eastAsia="黑体" w:cs="Arial"/>
          <w:bCs/>
          <w:kern w:val="0"/>
          <w:sz w:val="32"/>
          <w:szCs w:val="32"/>
        </w:rPr>
        <w:t>第五章　风险救助机制</w:t>
      </w:r>
    </w:p>
    <w:p>
      <w:pPr>
        <w:widowControl/>
        <w:shd w:val="clear" w:color="auto" w:fill="FFFFFF"/>
        <w:spacing w:line="540" w:lineRule="exact"/>
        <w:ind w:firstLine="640"/>
        <w:jc w:val="left"/>
        <w:rPr>
          <w:rFonts w:hint="eastAsia" w:ascii="仿宋_GB2312" w:hAnsi="宋体" w:eastAsia="仿宋_GB2312" w:cs="Arial"/>
          <w:bCs/>
          <w:kern w:val="0"/>
          <w:sz w:val="32"/>
          <w:szCs w:val="32"/>
        </w:rPr>
      </w:pPr>
      <w:r>
        <w:rPr>
          <w:rFonts w:hint="eastAsia" w:ascii="仿宋_GB2312" w:hAnsi="宋体" w:eastAsia="仿宋_GB2312" w:cs="Arial"/>
          <w:b/>
          <w:bCs/>
          <w:kern w:val="0"/>
          <w:sz w:val="32"/>
          <w:szCs w:val="32"/>
        </w:rPr>
        <w:t xml:space="preserve">第二十七条 </w:t>
      </w:r>
      <w:r>
        <w:rPr>
          <w:rFonts w:hint="eastAsia" w:ascii="仿宋_GB2312" w:hAnsi="宋体" w:eastAsia="仿宋_GB2312" w:cs="Arial"/>
          <w:bCs/>
          <w:kern w:val="0"/>
          <w:sz w:val="32"/>
          <w:szCs w:val="32"/>
        </w:rPr>
        <w:t xml:space="preserve"> 市财政建立农业担保系统风险救助机制。市级财政出资连同农业担保资金中市级出资收益滚动建立风险救助准备金，规模上限1亿元。在风险救助准备金规模未达上限时，市农担公司在年度收益分配时应及时将市级财政出资收益注入风险救助准备金。</w:t>
      </w:r>
    </w:p>
    <w:p>
      <w:pPr>
        <w:widowControl/>
        <w:shd w:val="clear" w:color="auto" w:fill="FFFFFF"/>
        <w:spacing w:line="540" w:lineRule="exact"/>
        <w:ind w:firstLine="640"/>
        <w:jc w:val="left"/>
        <w:rPr>
          <w:rFonts w:hint="eastAsia" w:ascii="仿宋_GB2312" w:hAnsi="宋体" w:eastAsia="仿宋_GB2312" w:cs="Arial"/>
          <w:bCs/>
          <w:kern w:val="0"/>
          <w:sz w:val="32"/>
          <w:szCs w:val="32"/>
        </w:rPr>
      </w:pPr>
      <w:r>
        <w:rPr>
          <w:rFonts w:hint="eastAsia" w:ascii="仿宋_GB2312" w:hAnsi="宋体" w:eastAsia="仿宋_GB2312" w:cs="Arial"/>
          <w:b/>
          <w:bCs/>
          <w:kern w:val="0"/>
          <w:sz w:val="32"/>
          <w:szCs w:val="32"/>
        </w:rPr>
        <w:t>第二十八条</w:t>
      </w:r>
      <w:r>
        <w:rPr>
          <w:rFonts w:hint="eastAsia" w:ascii="仿宋_GB2312" w:hAnsi="宋体" w:eastAsia="仿宋_GB2312" w:cs="Arial"/>
          <w:bCs/>
          <w:kern w:val="0"/>
          <w:sz w:val="32"/>
          <w:szCs w:val="32"/>
        </w:rPr>
        <w:t xml:space="preserve">  风险救助准备金委托市农担公司管理，年度资金筹集运作情况应向市财政局报告。经市财政局批准，风险救助准备金可用于下列支出：</w:t>
      </w:r>
    </w:p>
    <w:p>
      <w:pPr>
        <w:widowControl/>
        <w:shd w:val="clear" w:color="auto" w:fill="FFFFFF"/>
        <w:spacing w:line="540" w:lineRule="exact"/>
        <w:ind w:firstLine="640"/>
        <w:jc w:val="left"/>
        <w:rPr>
          <w:rFonts w:hint="eastAsia" w:ascii="仿宋_GB2312" w:hAnsi="宋体" w:eastAsia="仿宋_GB2312" w:cs="Arial"/>
          <w:bCs/>
          <w:kern w:val="0"/>
          <w:sz w:val="32"/>
          <w:szCs w:val="32"/>
        </w:rPr>
      </w:pPr>
      <w:r>
        <w:rPr>
          <w:rFonts w:hint="eastAsia" w:ascii="仿宋_GB2312" w:hAnsi="宋体" w:eastAsia="仿宋_GB2312" w:cs="Arial"/>
          <w:bCs/>
          <w:kern w:val="0"/>
          <w:sz w:val="32"/>
          <w:szCs w:val="32"/>
        </w:rPr>
        <w:t>（一）符合本办法第二十一条规定的担保项目代偿补助支出；</w:t>
      </w:r>
    </w:p>
    <w:p>
      <w:pPr>
        <w:widowControl/>
        <w:shd w:val="clear" w:color="auto" w:fill="FFFFFF"/>
        <w:spacing w:line="540" w:lineRule="exact"/>
        <w:ind w:firstLine="640"/>
        <w:jc w:val="left"/>
        <w:rPr>
          <w:rFonts w:hint="eastAsia" w:ascii="仿宋_GB2312" w:hAnsi="宋体" w:eastAsia="仿宋_GB2312" w:cs="Arial"/>
          <w:kern w:val="0"/>
          <w:sz w:val="32"/>
          <w:szCs w:val="32"/>
        </w:rPr>
      </w:pPr>
      <w:r>
        <w:rPr>
          <w:rFonts w:hint="eastAsia" w:ascii="仿宋_GB2312" w:hAnsi="宋体" w:eastAsia="仿宋_GB2312" w:cs="Arial"/>
          <w:bCs/>
          <w:kern w:val="0"/>
          <w:sz w:val="32"/>
          <w:szCs w:val="32"/>
        </w:rPr>
        <w:t>（二）当出现产业系统性风险时，对市农担公司超过</w:t>
      </w:r>
      <w:r>
        <w:rPr>
          <w:rFonts w:hint="eastAsia" w:ascii="仿宋_GB2312" w:hAnsi="宋体" w:eastAsia="仿宋_GB2312" w:cs="Arial"/>
          <w:kern w:val="0"/>
          <w:sz w:val="32"/>
          <w:szCs w:val="32"/>
        </w:rPr>
        <w:t>8%当年担保代偿率的担保代偿补助支出。</w:t>
      </w:r>
    </w:p>
    <w:p>
      <w:pPr>
        <w:widowControl/>
        <w:shd w:val="clear" w:color="auto" w:fill="FFFFFF"/>
        <w:spacing w:line="540" w:lineRule="exact"/>
        <w:ind w:firstLine="640"/>
        <w:jc w:val="left"/>
        <w:rPr>
          <w:rFonts w:hint="eastAsia" w:ascii="仿宋_GB2312" w:hAnsi="宋体" w:eastAsia="仿宋_GB2312" w:cs="Arial"/>
          <w:kern w:val="0"/>
          <w:sz w:val="32"/>
          <w:szCs w:val="32"/>
        </w:rPr>
      </w:pPr>
    </w:p>
    <w:p>
      <w:pPr>
        <w:widowControl/>
        <w:shd w:val="clear" w:color="auto" w:fill="FFFFFF"/>
        <w:spacing w:before="240" w:after="240" w:line="540" w:lineRule="exact"/>
        <w:jc w:val="center"/>
        <w:outlineLvl w:val="2"/>
        <w:rPr>
          <w:rFonts w:hint="eastAsia" w:ascii="宋体" w:hAnsi="宋体" w:cs="Arial"/>
          <w:b/>
          <w:bCs/>
          <w:kern w:val="0"/>
          <w:sz w:val="32"/>
          <w:szCs w:val="32"/>
        </w:rPr>
      </w:pPr>
      <w:r>
        <w:rPr>
          <w:rFonts w:hint="eastAsia" w:ascii="宋体" w:hAnsi="宋体" w:cs="Arial"/>
          <w:b/>
          <w:bCs/>
          <w:kern w:val="0"/>
          <w:sz w:val="32"/>
          <w:szCs w:val="32"/>
        </w:rPr>
        <w:t>第六章　监督检查与考核</w:t>
      </w:r>
    </w:p>
    <w:p>
      <w:pPr>
        <w:widowControl/>
        <w:shd w:val="clear" w:color="auto" w:fill="FFFFFF"/>
        <w:spacing w:line="540" w:lineRule="exact"/>
        <w:ind w:firstLine="670"/>
        <w:rPr>
          <w:rFonts w:hint="eastAsia" w:ascii="仿宋_GB2312" w:hAnsi="宋体" w:eastAsia="仿宋_GB2312" w:cs="Arial"/>
          <w:kern w:val="0"/>
          <w:sz w:val="32"/>
          <w:szCs w:val="32"/>
        </w:rPr>
      </w:pPr>
      <w:bookmarkStart w:id="16" w:name="27"/>
      <w:r>
        <w:rPr>
          <w:rFonts w:hint="eastAsia" w:ascii="仿宋_GB2312" w:hAnsi="宋体" w:eastAsia="仿宋_GB2312" w:cs="Arial"/>
          <w:b/>
          <w:bCs/>
          <w:kern w:val="0"/>
          <w:sz w:val="32"/>
          <w:szCs w:val="32"/>
        </w:rPr>
        <w:t>第二十九条</w:t>
      </w:r>
      <w:bookmarkEnd w:id="16"/>
      <w:r>
        <w:rPr>
          <w:rFonts w:hint="eastAsia" w:ascii="仿宋_GB2312" w:hAnsi="宋体" w:eastAsia="仿宋_GB2312" w:cs="Arial"/>
          <w:kern w:val="0"/>
          <w:sz w:val="32"/>
          <w:szCs w:val="32"/>
        </w:rPr>
        <w:t xml:space="preserve">  市财政局会同有关部门或机构对市农担公司的业务状况进行定期检查、审计和考核（考核办法另行制定），重点考核其涉农担保业务规模、项目个数、为农服务、风险控制等情况，建立和不断完善持续性、政策性并重的业务绩效考核评价体系。</w:t>
      </w:r>
    </w:p>
    <w:p>
      <w:pPr>
        <w:widowControl/>
        <w:shd w:val="clear" w:color="auto" w:fill="FFFFFF"/>
        <w:spacing w:line="540" w:lineRule="exact"/>
        <w:ind w:firstLine="640"/>
        <w:jc w:val="left"/>
        <w:rPr>
          <w:rFonts w:hint="eastAsia" w:ascii="仿宋_GB2312" w:hAnsi="宋体" w:eastAsia="仿宋_GB2312" w:cs="Arial"/>
          <w:kern w:val="0"/>
          <w:sz w:val="32"/>
          <w:szCs w:val="32"/>
        </w:rPr>
      </w:pPr>
      <w:r>
        <w:rPr>
          <w:rFonts w:hint="eastAsia" w:ascii="仿宋_GB2312" w:hAnsi="宋体" w:eastAsia="仿宋_GB2312" w:cs="Arial"/>
          <w:b/>
          <w:bCs/>
          <w:kern w:val="0"/>
          <w:sz w:val="32"/>
          <w:szCs w:val="32"/>
        </w:rPr>
        <w:t xml:space="preserve">第三十条  </w:t>
      </w:r>
      <w:r>
        <w:rPr>
          <w:rFonts w:hint="eastAsia" w:ascii="仿宋_GB2312" w:hAnsi="宋体" w:eastAsia="仿宋_GB2312" w:cs="Arial"/>
          <w:kern w:val="0"/>
          <w:sz w:val="32"/>
          <w:szCs w:val="32"/>
        </w:rPr>
        <w:t>根据市农担公司涉农业务开展情况的考核结果，市财政可参考市农担公司年度涉农业务担保费收入情况，按照一定比例，给予担保费用补助，弥补涉农信贷担保的业务费用，年度担保费用补助最高不超过当年市农担公司担保费收入的10%。</w:t>
      </w:r>
    </w:p>
    <w:p>
      <w:pPr>
        <w:widowControl/>
        <w:shd w:val="clear" w:color="auto" w:fill="FFFFFF"/>
        <w:spacing w:line="540" w:lineRule="exact"/>
        <w:ind w:firstLine="670"/>
        <w:rPr>
          <w:rFonts w:hint="eastAsia" w:ascii="仿宋_GB2312" w:hAnsi="宋体" w:eastAsia="仿宋_GB2312" w:cs="Arial"/>
          <w:kern w:val="0"/>
          <w:sz w:val="32"/>
          <w:szCs w:val="32"/>
        </w:rPr>
      </w:pPr>
      <w:r>
        <w:rPr>
          <w:rFonts w:hint="eastAsia" w:ascii="仿宋_GB2312" w:hAnsi="宋体" w:eastAsia="仿宋_GB2312" w:cs="Arial"/>
          <w:b/>
          <w:bCs/>
          <w:kern w:val="0"/>
          <w:sz w:val="32"/>
          <w:szCs w:val="32"/>
        </w:rPr>
        <w:t>第三十一条</w:t>
      </w:r>
      <w:r>
        <w:rPr>
          <w:rFonts w:hint="eastAsia" w:ascii="仿宋_GB2312" w:hAnsi="宋体" w:eastAsia="仿宋_GB2312" w:cs="Arial"/>
          <w:kern w:val="0"/>
          <w:sz w:val="32"/>
          <w:szCs w:val="32"/>
        </w:rPr>
        <w:t xml:space="preserve">  市农担公司挪用农业担保资金，虚报、骗取财政补助补偿资金，或挪用追偿债权收回资金中属于财政资金部分，按照《财政违法行为处罚处分条例》（国务院令第427号）等有关法律法规处理。</w:t>
      </w:r>
    </w:p>
    <w:p>
      <w:pPr>
        <w:widowControl/>
        <w:shd w:val="clear" w:color="auto" w:fill="FFFFFF"/>
        <w:spacing w:line="540" w:lineRule="exact"/>
        <w:ind w:firstLine="670"/>
        <w:rPr>
          <w:rFonts w:hint="eastAsia" w:ascii="仿宋_GB2312" w:hAnsi="宋体" w:eastAsia="仿宋_GB2312" w:cs="Arial"/>
          <w:kern w:val="0"/>
          <w:sz w:val="32"/>
          <w:szCs w:val="32"/>
        </w:rPr>
      </w:pPr>
    </w:p>
    <w:p>
      <w:pPr>
        <w:widowControl/>
        <w:shd w:val="clear" w:color="auto" w:fill="FFFFFF"/>
        <w:spacing w:before="240" w:after="240" w:line="540" w:lineRule="exact"/>
        <w:jc w:val="center"/>
        <w:outlineLvl w:val="2"/>
        <w:rPr>
          <w:rFonts w:hint="eastAsia" w:ascii="黑体" w:hAnsi="宋体" w:eastAsia="黑体" w:cs="Arial"/>
          <w:bCs/>
          <w:kern w:val="0"/>
          <w:sz w:val="32"/>
          <w:szCs w:val="32"/>
        </w:rPr>
      </w:pPr>
      <w:r>
        <w:rPr>
          <w:rFonts w:hint="eastAsia" w:ascii="黑体" w:hAnsi="宋体" w:eastAsia="黑体" w:cs="Arial"/>
          <w:bCs/>
          <w:kern w:val="0"/>
          <w:sz w:val="32"/>
          <w:szCs w:val="32"/>
        </w:rPr>
        <w:t>第七章　附则</w:t>
      </w:r>
    </w:p>
    <w:p>
      <w:pPr>
        <w:widowControl/>
        <w:shd w:val="clear" w:color="auto" w:fill="FFFFFF"/>
        <w:spacing w:line="540" w:lineRule="exact"/>
        <w:jc w:val="left"/>
        <w:rPr>
          <w:rFonts w:hint="eastAsia" w:ascii="仿宋_GB2312" w:hAnsi="宋体" w:eastAsia="仿宋_GB2312" w:cs="Arial"/>
          <w:kern w:val="0"/>
          <w:sz w:val="32"/>
          <w:szCs w:val="32"/>
        </w:rPr>
      </w:pPr>
      <w:bookmarkStart w:id="17" w:name="28"/>
      <w:r>
        <w:rPr>
          <w:rFonts w:hint="eastAsia" w:ascii="仿宋_GB2312" w:hAnsi="宋体" w:eastAsia="仿宋_GB2312" w:cs="Arial"/>
          <w:b/>
          <w:bCs/>
          <w:kern w:val="0"/>
          <w:sz w:val="32"/>
          <w:szCs w:val="32"/>
        </w:rPr>
        <w:t>　　第三十二条</w:t>
      </w:r>
      <w:bookmarkEnd w:id="17"/>
      <w:r>
        <w:rPr>
          <w:rFonts w:hint="eastAsia" w:ascii="仿宋_GB2312" w:hAnsi="宋体" w:eastAsia="仿宋_GB2312" w:cs="Arial"/>
          <w:kern w:val="0"/>
          <w:sz w:val="32"/>
          <w:szCs w:val="32"/>
        </w:rPr>
        <w:t>　本办法与国家法律、法规、规章规定不一致的，以国家法律、法规、规章的规定为准。</w:t>
      </w:r>
    </w:p>
    <w:p>
      <w:pPr>
        <w:widowControl/>
        <w:shd w:val="clear" w:color="auto" w:fill="FFFFFF"/>
        <w:spacing w:line="540" w:lineRule="exact"/>
        <w:jc w:val="left"/>
        <w:rPr>
          <w:rFonts w:hint="eastAsia" w:ascii="仿宋_GB2312" w:hAnsi="宋体" w:eastAsia="仿宋_GB2312" w:cs="Arial"/>
          <w:kern w:val="0"/>
          <w:sz w:val="32"/>
          <w:szCs w:val="32"/>
        </w:rPr>
      </w:pPr>
      <w:bookmarkStart w:id="18" w:name="29"/>
      <w:r>
        <w:rPr>
          <w:rFonts w:hint="eastAsia" w:ascii="仿宋_GB2312" w:hAnsi="宋体" w:eastAsia="仿宋_GB2312" w:cs="Arial"/>
          <w:b/>
          <w:bCs/>
          <w:kern w:val="0"/>
          <w:sz w:val="32"/>
          <w:szCs w:val="32"/>
        </w:rPr>
        <w:t>　　第三十三条</w:t>
      </w:r>
      <w:bookmarkEnd w:id="18"/>
      <w:r>
        <w:rPr>
          <w:rFonts w:hint="eastAsia" w:ascii="仿宋_GB2312" w:hAnsi="宋体" w:eastAsia="仿宋_GB2312" w:cs="Arial"/>
          <w:kern w:val="0"/>
          <w:sz w:val="32"/>
          <w:szCs w:val="32"/>
        </w:rPr>
        <w:t>　本办法由北京市财政局负责解释。</w:t>
      </w:r>
    </w:p>
    <w:p>
      <w:pPr>
        <w:spacing w:line="540" w:lineRule="exact"/>
        <w:ind w:firstLine="640"/>
        <w:rPr>
          <w:rFonts w:hint="eastAsia" w:ascii="仿宋_GB2312" w:hAnsi="宋体" w:eastAsia="仿宋_GB2312" w:cs="Arial"/>
          <w:kern w:val="0"/>
          <w:sz w:val="32"/>
          <w:szCs w:val="32"/>
        </w:rPr>
      </w:pPr>
      <w:bookmarkStart w:id="19" w:name="30"/>
      <w:r>
        <w:rPr>
          <w:rFonts w:hint="eastAsia" w:ascii="仿宋_GB2312" w:hAnsi="宋体" w:eastAsia="仿宋_GB2312" w:cs="Arial"/>
          <w:b/>
          <w:bCs/>
          <w:kern w:val="0"/>
          <w:sz w:val="32"/>
          <w:szCs w:val="32"/>
        </w:rPr>
        <w:t>第三十四条</w:t>
      </w:r>
      <w:bookmarkEnd w:id="19"/>
      <w:r>
        <w:rPr>
          <w:rFonts w:hint="eastAsia" w:ascii="仿宋_GB2312" w:hAnsi="宋体" w:eastAsia="仿宋_GB2312" w:cs="Arial"/>
          <w:kern w:val="0"/>
          <w:sz w:val="32"/>
          <w:szCs w:val="32"/>
        </w:rPr>
        <w:t>　本办法自发布之日起30日后实行，原有《北京市农业担保资金管理暂行办法》(京财农〔2010〕2448号)同时废止。</w:t>
      </w:r>
    </w:p>
    <w:p>
      <w:bookmarkStart w:id="20" w:name="_GoBack"/>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3243B7"/>
    <w:rsid w:val="243243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2016-11-10T07:09:00Z</dcterms:created>
  <dc:creator>banruo</dc:creator>
  <cp:lastModifiedBy>banruo</cp:lastModifiedBy>
  <dcterms:modified xsi:type="dcterms:W3CDTF">2016-11-10T07:10:20Z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