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szCs w:val="32"/>
        </w:rPr>
      </w:pPr>
      <w:r>
        <w:rPr>
          <w:rFonts w:hint="eastAsia" w:ascii="仿宋_GB2312" w:eastAsia="仿宋_GB2312"/>
          <w:sz w:val="32"/>
          <w:szCs w:val="32"/>
        </w:rPr>
        <w:t>附件</w:t>
      </w:r>
      <w:bookmarkStart w:id="0" w:name="_GoBack"/>
      <w:bookmarkEnd w:id="0"/>
    </w:p>
    <w:p>
      <w:pPr>
        <w:spacing w:line="560" w:lineRule="exact"/>
        <w:jc w:val="center"/>
        <w:rPr>
          <w:b/>
          <w:sz w:val="32"/>
          <w:szCs w:val="32"/>
        </w:rPr>
      </w:pPr>
      <w: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343535</wp:posOffset>
                </wp:positionV>
                <wp:extent cx="5257800" cy="294640"/>
                <wp:effectExtent l="5080" t="4445" r="10160" b="5715"/>
                <wp:wrapNone/>
                <wp:docPr id="25" name="矩形 3"/>
                <wp:cNvGraphicFramePr/>
                <a:graphic xmlns:a="http://schemas.openxmlformats.org/drawingml/2006/main">
                  <a:graphicData uri="http://schemas.microsoft.com/office/word/2010/wordprocessingShape">
                    <wps:wsp>
                      <wps:cNvSpPr>
                        <a:spLocks noChangeArrowheads="1"/>
                      </wps:cNvSpPr>
                      <wps:spPr bwMode="auto">
                        <a:xfrm>
                          <a:off x="0" y="0"/>
                          <a:ext cx="5257800" cy="294640"/>
                        </a:xfrm>
                        <a:prstGeom prst="rect">
                          <a:avLst/>
                        </a:prstGeom>
                        <a:solidFill>
                          <a:srgbClr val="FFFFFF"/>
                        </a:solidFill>
                        <a:ln w="9525">
                          <a:solidFill>
                            <a:srgbClr val="000000"/>
                          </a:solidFill>
                          <a:miter lim="800000"/>
                        </a:ln>
                        <a:effectLst/>
                      </wps:spPr>
                      <wps:txbx>
                        <w:txbxContent>
                          <w:p>
                            <w:pPr>
                              <w:jc w:val="center"/>
                              <w:rPr>
                                <w:b/>
                                <w:sz w:val="24"/>
                              </w:rPr>
                            </w:pPr>
                            <w:r>
                              <w:rPr>
                                <w:rFonts w:hint="eastAsia"/>
                                <w:b/>
                                <w:sz w:val="24"/>
                              </w:rPr>
                              <w:t>委托审计单位</w:t>
                            </w:r>
                          </w:p>
                        </w:txbxContent>
                      </wps:txbx>
                      <wps:bodyPr rot="0" vert="horz" wrap="square" lIns="91440" tIns="45720" rIns="91440" bIns="45720" anchor="t" anchorCtr="0" upright="1">
                        <a:noAutofit/>
                      </wps:bodyPr>
                    </wps:wsp>
                  </a:graphicData>
                </a:graphic>
              </wp:anchor>
            </w:drawing>
          </mc:Choice>
          <mc:Fallback>
            <w:pict>
              <v:rect id="矩形 3" o:spid="_x0000_s1026" o:spt="1" style="position:absolute;left:0pt;margin-left:1.5pt;margin-top:27.05pt;height:23.2pt;width:414pt;z-index:251661312;mso-width-relative:page;mso-height-relative:page;" coordsize="21600,21600" o:gfxdata="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bro&#10;edYAAAAIAQAADwAAAAAAAAABACAAAAAiAAAAZHJzL2Rvd25yZXYueG1sUEsBAhQAFAAAAAgAh07i&#10;QNnqGxYkAgAAOwQAAA4AAAAAAAAAAQAgAAAAJQEAAGRycy9lMm9Eb2MueG1sUEsFBgAAAAAGAAYA&#10;WQEAALsFAAAAAA==&#10;">
                <v:path/>
                <v:fill focussize="0,0"/>
                <v:stroke/>
                <v:imagedata o:title=""/>
                <o:lock v:ext="edit"/>
                <v:textbox>
                  <w:txbxContent>
                    <w:p>
                      <w:pPr>
                        <w:jc w:val="center"/>
                        <w:rPr>
                          <w:b/>
                          <w:sz w:val="24"/>
                        </w:rPr>
                      </w:pPr>
                      <w:r>
                        <w:rPr>
                          <w:rFonts w:hint="eastAsia"/>
                          <w:b/>
                          <w:sz w:val="24"/>
                        </w:rPr>
                        <w:t>委托审计单位</w:t>
                      </w:r>
                    </w:p>
                  </w:txbxContent>
                </v:textbox>
              </v:rect>
            </w:pict>
          </mc:Fallback>
        </mc:AlternateContent>
      </w:r>
      <w:r>
        <w:rPr>
          <w:rFonts w:hint="eastAsia"/>
          <w:b/>
          <w:sz w:val="32"/>
          <w:szCs w:val="32"/>
        </w:rPr>
        <w:t>海淀区土地储备开发项目成本预审工作流程图</w:t>
      </w:r>
    </w:p>
    <w:p>
      <w:pPr>
        <w:spacing w:line="560" w:lineRule="exact"/>
      </w:pPr>
      <w:r>
        <mc:AlternateContent>
          <mc:Choice Requires="wps">
            <w:drawing>
              <wp:anchor distT="0" distB="0" distL="114300" distR="114300" simplePos="0" relativeHeight="251662336" behindDoc="0" locked="0" layoutInCell="1" allowOverlap="1">
                <wp:simplePos x="0" y="0"/>
                <wp:positionH relativeFrom="column">
                  <wp:posOffset>-64770</wp:posOffset>
                </wp:positionH>
                <wp:positionV relativeFrom="paragraph">
                  <wp:posOffset>292100</wp:posOffset>
                </wp:positionV>
                <wp:extent cx="2743200" cy="1190625"/>
                <wp:effectExtent l="38100" t="4445" r="38100" b="8890"/>
                <wp:wrapNone/>
                <wp:docPr id="26" name="下箭头 4"/>
                <wp:cNvGraphicFramePr/>
                <a:graphic xmlns:a="http://schemas.openxmlformats.org/drawingml/2006/main">
                  <a:graphicData uri="http://schemas.microsoft.com/office/word/2010/wordprocessingShape">
                    <wps:wsp>
                      <wps:cNvSpPr>
                        <a:spLocks noChangeArrowheads="1"/>
                      </wps:cNvSpPr>
                      <wps:spPr bwMode="auto">
                        <a:xfrm>
                          <a:off x="0" y="0"/>
                          <a:ext cx="2743200" cy="1190625"/>
                        </a:xfrm>
                        <a:prstGeom prst="downArrow">
                          <a:avLst>
                            <a:gd name="adj1" fmla="val 50000"/>
                            <a:gd name="adj2" fmla="val 25000"/>
                          </a:avLst>
                        </a:prstGeom>
                        <a:solidFill>
                          <a:srgbClr val="FFFFFF"/>
                        </a:solidFill>
                        <a:ln w="9525">
                          <a:solidFill>
                            <a:srgbClr val="000000"/>
                          </a:solidFill>
                          <a:miter lim="800000"/>
                        </a:ln>
                        <a:effectLst/>
                      </wps:spPr>
                      <wps:txbx>
                        <w:txbxContent>
                          <w:p>
                            <w:pPr>
                              <w:jc w:val="center"/>
                              <w:rPr>
                                <w:sz w:val="18"/>
                                <w:szCs w:val="18"/>
                              </w:rPr>
                            </w:pPr>
                            <w:r>
                              <w:rPr>
                                <w:rFonts w:hint="eastAsia"/>
                                <w:sz w:val="18"/>
                                <w:szCs w:val="18"/>
                              </w:rPr>
                              <w:t>社会企业为主体的土地一级开发项目由区国土分局、区审计局、区财政局共同委托审计单位，开展成本审计</w:t>
                            </w:r>
                          </w:p>
                        </w:txbxContent>
                      </wps:txbx>
                      <wps:bodyPr rot="0" vert="horz" wrap="square" lIns="91440" tIns="45720" rIns="91440" bIns="45720" anchor="t" anchorCtr="0" upright="1">
                        <a:noAutofit/>
                      </wps:bodyPr>
                    </wps:wsp>
                  </a:graphicData>
                </a:graphic>
              </wp:anchor>
            </w:drawing>
          </mc:Choice>
          <mc:Fallback>
            <w:pict>
              <v:shape id="下箭头 4" o:spid="_x0000_s1026" o:spt="67" type="#_x0000_t67" style="position:absolute;left:0pt;margin-left:-5.1pt;margin-top:23pt;height:93.75pt;width:216pt;z-index:251662336;mso-width-relative:page;mso-height-relative:page;" coordsize="21600,21600" o:gfxdata="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TSMEntUAAAAKAQAADwAAAAAAAAABACAAAAAi&#10;AAAAZHJzL2Rvd25yZXYueG1sUEsBAhQAFAAAAAgAh07iQIoqWNZGAgAAlQQAAA4AAAAAAAAAAQAg&#10;AAAAJAEAAGRycy9lMm9Eb2MueG1sUEsFBgAAAAAGAAYAWQEAANwFAAAAAA==&#10;">
                <v:path/>
                <v:fill focussize="0,0"/>
                <v:stroke/>
                <v:imagedata o:title=""/>
                <o:lock v:ext="edit"/>
                <v:textbox>
                  <w:txbxContent>
                    <w:p>
                      <w:pPr>
                        <w:jc w:val="center"/>
                        <w:rPr>
                          <w:sz w:val="18"/>
                          <w:szCs w:val="18"/>
                        </w:rPr>
                      </w:pPr>
                      <w:r>
                        <w:rPr>
                          <w:rFonts w:hint="eastAsia"/>
                          <w:sz w:val="18"/>
                          <w:szCs w:val="18"/>
                        </w:rPr>
                        <w:t>社会企业为主体的土地一级开发项目由区国土分局、区审计局、区财政局共同委托审计单位，开展成本审计</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2697480</wp:posOffset>
                </wp:positionH>
                <wp:positionV relativeFrom="paragraph">
                  <wp:posOffset>292100</wp:posOffset>
                </wp:positionV>
                <wp:extent cx="2695575" cy="1190625"/>
                <wp:effectExtent l="38100" t="4445" r="40005" b="8890"/>
                <wp:wrapNone/>
                <wp:docPr id="27" name="下箭头 5"/>
                <wp:cNvGraphicFramePr/>
                <a:graphic xmlns:a="http://schemas.openxmlformats.org/drawingml/2006/main">
                  <a:graphicData uri="http://schemas.microsoft.com/office/word/2010/wordprocessingShape">
                    <wps:wsp>
                      <wps:cNvSpPr>
                        <a:spLocks noChangeArrowheads="1"/>
                      </wps:cNvSpPr>
                      <wps:spPr bwMode="auto">
                        <a:xfrm>
                          <a:off x="0" y="0"/>
                          <a:ext cx="2695575" cy="1190625"/>
                        </a:xfrm>
                        <a:prstGeom prst="downArrow">
                          <a:avLst>
                            <a:gd name="adj1" fmla="val 50000"/>
                            <a:gd name="adj2" fmla="val 25000"/>
                          </a:avLst>
                        </a:prstGeom>
                        <a:solidFill>
                          <a:srgbClr val="FFFFFF"/>
                        </a:solidFill>
                        <a:ln w="9525">
                          <a:solidFill>
                            <a:srgbClr val="000000"/>
                          </a:solidFill>
                          <a:miter lim="800000"/>
                        </a:ln>
                        <a:effectLst/>
                      </wps:spPr>
                      <wps:txbx>
                        <w:txbxContent>
                          <w:p>
                            <w:pPr>
                              <w:jc w:val="center"/>
                              <w:rPr>
                                <w:sz w:val="18"/>
                                <w:szCs w:val="18"/>
                              </w:rPr>
                            </w:pPr>
                            <w:r>
                              <w:rPr>
                                <w:rFonts w:hint="eastAsia"/>
                                <w:sz w:val="18"/>
                                <w:szCs w:val="18"/>
                              </w:rPr>
                              <w:t>储备分中心为主体的土地一级开发项目及收购储备项目，由区审计局、区财政局共同委托审计单位，开展跟踪审计</w:t>
                            </w:r>
                          </w:p>
                        </w:txbxContent>
                      </wps:txbx>
                      <wps:bodyPr rot="0" vert="horz" wrap="square" lIns="91440" tIns="45720" rIns="91440" bIns="45720" anchor="t" anchorCtr="0" upright="1">
                        <a:noAutofit/>
                      </wps:bodyPr>
                    </wps:wsp>
                  </a:graphicData>
                </a:graphic>
              </wp:anchor>
            </w:drawing>
          </mc:Choice>
          <mc:Fallback>
            <w:pict>
              <v:shape id="下箭头 5" o:spid="_x0000_s1026" o:spt="67" type="#_x0000_t67" style="position:absolute;left:0pt;margin-left:212.4pt;margin-top:23pt;height:93.75pt;width:212.25pt;z-index:251663360;mso-width-relative:page;mso-height-relative:page;" coordsize="21600,21600" o:gfxdata="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mZ+D1gAAAAoBAAAPAAAAAAAAAAEAIAAA&#10;ACIAAABkcnMvZG93bnJldi54bWxQSwECFAAUAAAACACHTuJAv5jc5kcCAACVBAAADgAAAAAAAAAB&#10;ACAAAAAlAQAAZHJzL2Uyb0RvYy54bWxQSwUGAAAAAAYABgBZAQAA3gUAAAAA&#10;">
                <v:path/>
                <v:fill focussize="0,0"/>
                <v:stroke/>
                <v:imagedata o:title=""/>
                <o:lock v:ext="edit"/>
                <v:textbox>
                  <w:txbxContent>
                    <w:p>
                      <w:pPr>
                        <w:jc w:val="center"/>
                        <w:rPr>
                          <w:sz w:val="18"/>
                          <w:szCs w:val="18"/>
                        </w:rPr>
                      </w:pPr>
                      <w:r>
                        <w:rPr>
                          <w:rFonts w:hint="eastAsia"/>
                          <w:sz w:val="18"/>
                          <w:szCs w:val="18"/>
                        </w:rPr>
                        <w:t>储备分中心为主体的土地一级开发项目及收购储备项目，由区审计局、区财政局共同委托审计单位，开展跟踪审计</w:t>
                      </w:r>
                    </w:p>
                  </w:txbxContent>
                </v:textbox>
              </v:shape>
            </w:pict>
          </mc:Fallback>
        </mc:AlternateContent>
      </w:r>
    </w:p>
    <w:p>
      <w:pPr>
        <w:spacing w:line="560" w:lineRule="exact"/>
      </w:pPr>
    </w:p>
    <w:p>
      <w:pPr>
        <w:snapToGrid w:val="0"/>
        <w:spacing w:line="560" w:lineRule="exact"/>
        <w:ind w:firstLine="640" w:firstLineChars="200"/>
        <w:jc w:val="left"/>
        <w:rPr>
          <w:rFonts w:ascii="仿宋_GB2312" w:eastAsia="仿宋_GB2312"/>
          <w:sz w:val="32"/>
          <w:szCs w:val="32"/>
        </w:rPr>
      </w:pPr>
    </w:p>
    <w:p/>
    <w:p>
      <w:pPr>
        <w:spacing w:line="560" w:lineRule="exact"/>
        <w:jc w:val="center"/>
        <w:rPr>
          <w:b/>
          <w:sz w:val="24"/>
        </w:rPr>
      </w:pPr>
      <w:r>
        <mc:AlternateContent>
          <mc:Choice Requires="wps">
            <w:drawing>
              <wp:anchor distT="0" distB="0" distL="114300" distR="114300" simplePos="0" relativeHeight="251672576" behindDoc="0" locked="0" layoutInCell="1" allowOverlap="1">
                <wp:simplePos x="0" y="0"/>
                <wp:positionH relativeFrom="column">
                  <wp:posOffset>20955</wp:posOffset>
                </wp:positionH>
                <wp:positionV relativeFrom="paragraph">
                  <wp:posOffset>227330</wp:posOffset>
                </wp:positionV>
                <wp:extent cx="5257800" cy="1914525"/>
                <wp:effectExtent l="4445" t="4445" r="10795" b="16510"/>
                <wp:wrapNone/>
                <wp:docPr id="28" name="下箭头标注 7"/>
                <wp:cNvGraphicFramePr/>
                <a:graphic xmlns:a="http://schemas.openxmlformats.org/drawingml/2006/main">
                  <a:graphicData uri="http://schemas.microsoft.com/office/word/2010/wordprocessingShape">
                    <wps:wsp>
                      <wps:cNvSpPr>
                        <a:spLocks noChangeArrowheads="1"/>
                      </wps:cNvSpPr>
                      <wps:spPr bwMode="auto">
                        <a:xfrm>
                          <a:off x="0" y="0"/>
                          <a:ext cx="5257800" cy="1914525"/>
                        </a:xfrm>
                        <a:prstGeom prst="downArrowCallout">
                          <a:avLst>
                            <a:gd name="adj1" fmla="val 49379"/>
                            <a:gd name="adj2" fmla="val 54365"/>
                            <a:gd name="adj3" fmla="val 7387"/>
                            <a:gd name="adj4" fmla="val 87416"/>
                          </a:avLst>
                        </a:prstGeom>
                        <a:solidFill>
                          <a:srgbClr val="FFFFFF"/>
                        </a:solidFill>
                        <a:ln w="9525">
                          <a:solidFill>
                            <a:srgbClr val="000000"/>
                          </a:solidFill>
                          <a:miter lim="800000"/>
                        </a:ln>
                        <a:effectLst/>
                      </wps:spPr>
                      <wps:txbx>
                        <w:txbxContent>
                          <w:p>
                            <w:pPr>
                              <w:jc w:val="center"/>
                              <w:rPr>
                                <w:b/>
                              </w:rPr>
                            </w:pPr>
                            <w:r>
                              <w:rPr>
                                <w:rFonts w:hint="eastAsia"/>
                                <w:b/>
                                <w:bCs/>
                              </w:rPr>
                              <w:t>提出申请</w:t>
                            </w:r>
                          </w:p>
                          <w:p>
                            <w:pPr>
                              <w:ind w:firstLine="360" w:firstLineChars="200"/>
                              <w:rPr>
                                <w:rFonts w:ascii="宋体" w:cs="宋体"/>
                                <w:sz w:val="18"/>
                                <w:szCs w:val="18"/>
                              </w:rPr>
                            </w:pPr>
                            <w:r>
                              <w:rPr>
                                <w:rFonts w:hint="eastAsia" w:ascii="宋体" w:hAnsi="宋体" w:cs="宋体"/>
                                <w:sz w:val="18"/>
                                <w:szCs w:val="18"/>
                              </w:rPr>
                              <w:t>社会企业为主体的土地一级开发项目由社会企业向区国土分局提出成本审核申请；储备分中心为主体的土地一级开发项目及收购储备项目由储备分中心提出成本审核申请</w:t>
                            </w:r>
                          </w:p>
                          <w:p>
                            <w:pPr>
                              <w:ind w:firstLine="361" w:firstLineChars="200"/>
                              <w:rPr>
                                <w:rFonts w:ascii="宋体" w:cs="宋体"/>
                                <w:b/>
                                <w:sz w:val="18"/>
                                <w:szCs w:val="18"/>
                              </w:rPr>
                            </w:pPr>
                            <w:r>
                              <w:rPr>
                                <w:rFonts w:hint="eastAsia" w:ascii="宋体" w:hAnsi="宋体" w:cs="宋体"/>
                                <w:b/>
                                <w:sz w:val="18"/>
                                <w:szCs w:val="18"/>
                              </w:rPr>
                              <w:t>成本审核条件</w:t>
                            </w:r>
                          </w:p>
                          <w:p>
                            <w:pPr>
                              <w:ind w:firstLine="360" w:firstLineChars="200"/>
                              <w:rPr>
                                <w:rFonts w:ascii="宋体" w:cs="宋体"/>
                                <w:sz w:val="18"/>
                                <w:szCs w:val="18"/>
                              </w:rPr>
                            </w:pPr>
                            <w:r>
                              <w:rPr>
                                <w:rFonts w:hint="eastAsia" w:ascii="宋体" w:hAnsi="宋体" w:cs="宋体"/>
                                <w:sz w:val="18"/>
                                <w:szCs w:val="18"/>
                              </w:rPr>
                              <w:t>一级开发项目提请成本审核基本要件：取得一级开发授权批复、取得立项批复、取得征地批复或征地结案、完成全部拆迁或取得拆迁结案、市政基础设施建设已基本完成且未完成部分可通过工程量估算出预计发生的费用、审计单位出具成本审核报告，项目主体对成本审核报告出具审计确认函</w:t>
                            </w:r>
                          </w:p>
                          <w:p>
                            <w:pPr>
                              <w:ind w:firstLine="360" w:firstLineChars="200"/>
                              <w:rPr>
                                <w:rFonts w:ascii="宋体" w:cs="宋体"/>
                                <w:sz w:val="18"/>
                                <w:szCs w:val="18"/>
                              </w:rPr>
                            </w:pPr>
                            <w:r>
                              <w:rPr>
                                <w:rFonts w:hint="eastAsia" w:ascii="宋体" w:hAnsi="宋体" w:cs="宋体"/>
                                <w:sz w:val="18"/>
                                <w:szCs w:val="18"/>
                              </w:rPr>
                              <w:t>收购储备项目原则上应完成地上物全部拆除工作，用地权属不存在争议</w:t>
                            </w:r>
                          </w:p>
                        </w:txbxContent>
                      </wps:txbx>
                      <wps:bodyPr rot="0" vert="horz" wrap="square" lIns="91440" tIns="45720" rIns="91440" bIns="45720" anchor="t" anchorCtr="0" upright="1">
                        <a:noAutofit/>
                      </wps:bodyPr>
                    </wps:wsp>
                  </a:graphicData>
                </a:graphic>
              </wp:anchor>
            </w:drawing>
          </mc:Choice>
          <mc:Fallback>
            <w:pict>
              <v:shape id="下箭头标注 7" o:spid="_x0000_s1026" o:spt="80" type="#_x0000_t80" style="position:absolute;left:0pt;margin-left:1.65pt;margin-top:17.9pt;height:150.75pt;width:414pt;z-index:251672576;mso-width-relative:page;mso-height-relative:page;" coordsize="21600,21600" o:gfxdata="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JS6aZ1QAAAAgBAAAPAAAAAAAAAAEAIAAAACIAAABkcnMvZG93bnJldi54&#10;bWxQSwECFAAUAAAACACHTuJAMPOMtm8CAADpBAAADgAAAAAAAAABACAAAAAkAQAAZHJzL2Uyb0Rv&#10;Yy54bWxQSwUGAAAAAAYABgBZAQAABQYAAAAA&#10;" adj="18882,6524,20004,8858">
                <v:path/>
                <v:fill focussize="0,0"/>
                <v:stroke/>
                <v:imagedata o:title=""/>
                <o:lock v:ext="edit"/>
                <v:textbox>
                  <w:txbxContent>
                    <w:p>
                      <w:pPr>
                        <w:jc w:val="center"/>
                        <w:rPr>
                          <w:b/>
                        </w:rPr>
                      </w:pPr>
                      <w:r>
                        <w:rPr>
                          <w:rFonts w:hint="eastAsia"/>
                          <w:b/>
                          <w:bCs/>
                        </w:rPr>
                        <w:t>提出申请</w:t>
                      </w:r>
                    </w:p>
                    <w:p>
                      <w:pPr>
                        <w:ind w:firstLine="360" w:firstLineChars="200"/>
                        <w:rPr>
                          <w:rFonts w:ascii="宋体" w:cs="宋体"/>
                          <w:sz w:val="18"/>
                          <w:szCs w:val="18"/>
                        </w:rPr>
                      </w:pPr>
                      <w:r>
                        <w:rPr>
                          <w:rFonts w:hint="eastAsia" w:ascii="宋体" w:hAnsi="宋体" w:cs="宋体"/>
                          <w:sz w:val="18"/>
                          <w:szCs w:val="18"/>
                        </w:rPr>
                        <w:t>社会企业为主体的土地一级开发项目由社会企业向区国土分局提出成本审核申请；储备分中心为主体的土地一级开发项目及收购储备项目由储备分中心提出成本审核申请</w:t>
                      </w:r>
                    </w:p>
                    <w:p>
                      <w:pPr>
                        <w:ind w:firstLine="361" w:firstLineChars="200"/>
                        <w:rPr>
                          <w:rFonts w:ascii="宋体" w:cs="宋体"/>
                          <w:b/>
                          <w:sz w:val="18"/>
                          <w:szCs w:val="18"/>
                        </w:rPr>
                      </w:pPr>
                      <w:r>
                        <w:rPr>
                          <w:rFonts w:hint="eastAsia" w:ascii="宋体" w:hAnsi="宋体" w:cs="宋体"/>
                          <w:b/>
                          <w:sz w:val="18"/>
                          <w:szCs w:val="18"/>
                        </w:rPr>
                        <w:t>成本审核条件</w:t>
                      </w:r>
                    </w:p>
                    <w:p>
                      <w:pPr>
                        <w:ind w:firstLine="360" w:firstLineChars="200"/>
                        <w:rPr>
                          <w:rFonts w:ascii="宋体" w:cs="宋体"/>
                          <w:sz w:val="18"/>
                          <w:szCs w:val="18"/>
                        </w:rPr>
                      </w:pPr>
                      <w:r>
                        <w:rPr>
                          <w:rFonts w:hint="eastAsia" w:ascii="宋体" w:hAnsi="宋体" w:cs="宋体"/>
                          <w:sz w:val="18"/>
                          <w:szCs w:val="18"/>
                        </w:rPr>
                        <w:t>一级开发项目提请成本审核基本要件：取得一级开发授权批复、取得立项批复、取得征地批复或征地结案、完成全部拆迁或取得拆迁结案、市政基础设施建设已基本完成且未完成部分可通过工程量估算出预计发生的费用、审计单位出具成本审核报告，项目主体对成本审核报告出具审计确认函</w:t>
                      </w:r>
                    </w:p>
                    <w:p>
                      <w:pPr>
                        <w:ind w:firstLine="360" w:firstLineChars="200"/>
                        <w:rPr>
                          <w:rFonts w:ascii="宋体" w:cs="宋体"/>
                          <w:sz w:val="18"/>
                          <w:szCs w:val="18"/>
                        </w:rPr>
                      </w:pPr>
                      <w:r>
                        <w:rPr>
                          <w:rFonts w:hint="eastAsia" w:ascii="宋体" w:hAnsi="宋体" w:cs="宋体"/>
                          <w:sz w:val="18"/>
                          <w:szCs w:val="18"/>
                        </w:rPr>
                        <w:t>收购储备项目原则上应完成地上物全部拆除工作，用地权属不存在争议</w:t>
                      </w:r>
                    </w:p>
                  </w:txbxContent>
                </v:textbox>
              </v:shape>
            </w:pict>
          </mc:Fallback>
        </mc:AlternateContent>
      </w: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420" w:firstLineChars="200"/>
        <w:rPr>
          <w:rFonts w:ascii="仿宋_GB2312" w:hAnsi="仿宋" w:eastAsia="仿宋_GB2312"/>
          <w:sz w:val="32"/>
          <w:szCs w:val="32"/>
        </w:rPr>
      </w:pPr>
      <w:r>
        <mc:AlternateContent>
          <mc:Choice Requires="wps">
            <w:drawing>
              <wp:anchor distT="0" distB="0" distL="114300" distR="114300" simplePos="0" relativeHeight="251664384" behindDoc="0" locked="0" layoutInCell="1" allowOverlap="1">
                <wp:simplePos x="0" y="0"/>
                <wp:positionH relativeFrom="column">
                  <wp:posOffset>20955</wp:posOffset>
                </wp:positionH>
                <wp:positionV relativeFrom="paragraph">
                  <wp:posOffset>17780</wp:posOffset>
                </wp:positionV>
                <wp:extent cx="5257800" cy="695960"/>
                <wp:effectExtent l="5080" t="4445" r="10160" b="15875"/>
                <wp:wrapNone/>
                <wp:docPr id="29" name="下箭头标注 29"/>
                <wp:cNvGraphicFramePr/>
                <a:graphic xmlns:a="http://schemas.openxmlformats.org/drawingml/2006/main">
                  <a:graphicData uri="http://schemas.microsoft.com/office/word/2010/wordprocessingShape">
                    <wps:wsp>
                      <wps:cNvSpPr>
                        <a:spLocks noChangeArrowheads="1"/>
                      </wps:cNvSpPr>
                      <wps:spPr bwMode="auto">
                        <a:xfrm>
                          <a:off x="0" y="0"/>
                          <a:ext cx="5257800" cy="695960"/>
                        </a:xfrm>
                        <a:prstGeom prst="downArrowCallout">
                          <a:avLst>
                            <a:gd name="adj1" fmla="val 140474"/>
                            <a:gd name="adj2" fmla="val 150055"/>
                            <a:gd name="adj3" fmla="val 20773"/>
                            <a:gd name="adj4" fmla="val 66667"/>
                          </a:avLst>
                        </a:prstGeom>
                        <a:solidFill>
                          <a:srgbClr val="FFFFFF"/>
                        </a:solidFill>
                        <a:ln w="9525">
                          <a:solidFill>
                            <a:srgbClr val="000000"/>
                          </a:solidFill>
                          <a:miter lim="800000"/>
                        </a:ln>
                        <a:effectLst/>
                      </wps:spPr>
                      <wps:txbx>
                        <w:txbxContent>
                          <w:p>
                            <w:pPr>
                              <w:jc w:val="center"/>
                              <w:rPr>
                                <w:rFonts w:ascii="宋体" w:cs="宋体"/>
                                <w:b/>
                                <w:szCs w:val="21"/>
                              </w:rPr>
                            </w:pPr>
                            <w:r>
                              <w:rPr>
                                <w:rFonts w:hint="eastAsia" w:ascii="宋体" w:hAnsi="宋体" w:cs="宋体"/>
                                <w:b/>
                                <w:szCs w:val="21"/>
                              </w:rPr>
                              <w:t>审核</w:t>
                            </w:r>
                          </w:p>
                          <w:p>
                            <w:pPr>
                              <w:jc w:val="center"/>
                              <w:rPr>
                                <w:rFonts w:ascii="宋体" w:cs="宋体"/>
                                <w:sz w:val="18"/>
                                <w:szCs w:val="18"/>
                              </w:rPr>
                            </w:pPr>
                            <w:r>
                              <w:rPr>
                                <w:rFonts w:hint="eastAsia" w:ascii="宋体" w:hAnsi="宋体" w:cs="宋体"/>
                                <w:sz w:val="18"/>
                                <w:szCs w:val="18"/>
                              </w:rPr>
                              <w:t>审计单位出具成本审核报告并经项目主体确认后，由委托审计方对成本审核报告合规性进行审查</w:t>
                            </w:r>
                          </w:p>
                        </w:txbxContent>
                      </wps:txbx>
                      <wps:bodyPr rot="0" vert="horz" wrap="square" lIns="91440" tIns="45720" rIns="91440" bIns="45720" anchor="t" anchorCtr="0" upright="1">
                        <a:noAutofit/>
                      </wps:bodyPr>
                    </wps:wsp>
                  </a:graphicData>
                </a:graphic>
              </wp:anchor>
            </w:drawing>
          </mc:Choice>
          <mc:Fallback>
            <w:pict>
              <v:shape id="_x0000_s1026" o:spid="_x0000_s1026" o:spt="80" type="#_x0000_t80" style="position:absolute;left:0pt;margin-left:1.65pt;margin-top:1.4pt;height:54.8pt;width:414pt;z-index:251664384;mso-width-relative:page;mso-height-relative:page;" coordsize="21600,21600" o:gfxdata="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9g4dW1wAAAAcBAAAPAAAAAAAAAAEAIAAAACIAAABkcnMvZG93bnJl&#10;di54bWxQSwECFAAUAAAACACHTuJAm53WJ3ACAADsBAAADgAAAAAAAAABACAAAAAmAQAAZHJzL2Uy&#10;b0RvYy54bWxQSwUGAAAAAAYABgBZAQAACAYAAAAA&#10;" adj=",6510,17113,8792">
                <v:path/>
                <v:fill focussize="0,0"/>
                <v:stroke/>
                <v:imagedata o:title=""/>
                <o:lock v:ext="edit"/>
                <v:textbox>
                  <w:txbxContent>
                    <w:p>
                      <w:pPr>
                        <w:jc w:val="center"/>
                        <w:rPr>
                          <w:rFonts w:ascii="宋体" w:cs="宋体"/>
                          <w:b/>
                          <w:szCs w:val="21"/>
                        </w:rPr>
                      </w:pPr>
                      <w:r>
                        <w:rPr>
                          <w:rFonts w:hint="eastAsia" w:ascii="宋体" w:hAnsi="宋体" w:cs="宋体"/>
                          <w:b/>
                          <w:szCs w:val="21"/>
                        </w:rPr>
                        <w:t>审核</w:t>
                      </w:r>
                    </w:p>
                    <w:p>
                      <w:pPr>
                        <w:jc w:val="center"/>
                        <w:rPr>
                          <w:rFonts w:ascii="宋体" w:cs="宋体"/>
                          <w:sz w:val="18"/>
                          <w:szCs w:val="18"/>
                        </w:rPr>
                      </w:pPr>
                      <w:r>
                        <w:rPr>
                          <w:rFonts w:hint="eastAsia" w:ascii="宋体" w:hAnsi="宋体" w:cs="宋体"/>
                          <w:sz w:val="18"/>
                          <w:szCs w:val="18"/>
                        </w:rPr>
                        <w:t>审计单位出具成本审核报告并经项目主体确认后，由委托审计方对成本审核报告合规性进行审查</w:t>
                      </w:r>
                    </w:p>
                  </w:txbxContent>
                </v:textbox>
              </v:shape>
            </w:pict>
          </mc:Fallback>
        </mc:AlternateContent>
      </w:r>
    </w:p>
    <w:p>
      <w:pPr>
        <w:spacing w:line="560" w:lineRule="exact"/>
        <w:ind w:firstLine="640" w:firstLineChars="200"/>
        <w:rPr>
          <w:rFonts w:ascii="仿宋_GB2312" w:hAnsi="仿宋" w:eastAsia="仿宋_GB2312"/>
          <w:sz w:val="32"/>
          <w:szCs w:val="32"/>
        </w:rPr>
      </w:pPr>
    </w:p>
    <w:p>
      <w:pPr>
        <w:spacing w:line="560" w:lineRule="exact"/>
        <w:ind w:firstLine="420" w:firstLineChars="200"/>
        <w:rPr>
          <w:rFonts w:ascii="仿宋_GB2312" w:hAnsi="仿宋" w:eastAsia="仿宋_GB2312"/>
          <w:sz w:val="32"/>
          <w:szCs w:val="32"/>
        </w:rPr>
      </w:pPr>
      <w:r>
        <mc:AlternateContent>
          <mc:Choice Requires="wps">
            <w:drawing>
              <wp:anchor distT="0" distB="0" distL="114300" distR="114300" simplePos="0" relativeHeight="251666432" behindDoc="0" locked="0" layoutInCell="1" allowOverlap="1">
                <wp:simplePos x="0" y="0"/>
                <wp:positionH relativeFrom="column">
                  <wp:posOffset>20955</wp:posOffset>
                </wp:positionH>
                <wp:positionV relativeFrom="paragraph">
                  <wp:posOffset>11430</wp:posOffset>
                </wp:positionV>
                <wp:extent cx="5257800" cy="419100"/>
                <wp:effectExtent l="4445" t="4445" r="10795" b="18415"/>
                <wp:wrapNone/>
                <wp:docPr id="30" name="下箭头标注 30"/>
                <wp:cNvGraphicFramePr/>
                <a:graphic xmlns:a="http://schemas.openxmlformats.org/drawingml/2006/main">
                  <a:graphicData uri="http://schemas.microsoft.com/office/word/2010/wordprocessingShape">
                    <wps:wsp>
                      <wps:cNvSpPr>
                        <a:spLocks noChangeArrowheads="1"/>
                      </wps:cNvSpPr>
                      <wps:spPr bwMode="auto">
                        <a:xfrm>
                          <a:off x="0" y="0"/>
                          <a:ext cx="5257800" cy="419100"/>
                        </a:xfrm>
                        <a:prstGeom prst="downArrowCallout">
                          <a:avLst>
                            <a:gd name="adj1" fmla="val 248102"/>
                            <a:gd name="adj2" fmla="val 246079"/>
                            <a:gd name="adj3" fmla="val 23485"/>
                            <a:gd name="adj4" fmla="val 66667"/>
                          </a:avLst>
                        </a:prstGeom>
                        <a:solidFill>
                          <a:srgbClr val="FFFFFF"/>
                        </a:solidFill>
                        <a:ln w="9525">
                          <a:solidFill>
                            <a:srgbClr val="000000"/>
                          </a:solidFill>
                          <a:miter lim="800000"/>
                        </a:ln>
                        <a:effectLst/>
                      </wps:spPr>
                      <wps:txbx>
                        <w:txbxContent>
                          <w:p>
                            <w:pPr>
                              <w:jc w:val="center"/>
                              <w:rPr>
                                <w:sz w:val="18"/>
                                <w:szCs w:val="18"/>
                              </w:rPr>
                            </w:pPr>
                            <w:r>
                              <w:rPr>
                                <w:rFonts w:hint="eastAsia" w:ascii="宋体" w:hAnsi="宋体"/>
                                <w:sz w:val="18"/>
                                <w:szCs w:val="18"/>
                              </w:rPr>
                              <w:t>审查通过后由项目主体向区国土分局提交成本审核申请，区国土分局对成本审核报告规范性进行审查</w:t>
                            </w:r>
                          </w:p>
                        </w:txbxContent>
                      </wps:txbx>
                      <wps:bodyPr rot="0" vert="horz" wrap="square" lIns="91440" tIns="45720" rIns="91440" bIns="45720" anchor="t" anchorCtr="0" upright="1">
                        <a:noAutofit/>
                      </wps:bodyPr>
                    </wps:wsp>
                  </a:graphicData>
                </a:graphic>
              </wp:anchor>
            </w:drawing>
          </mc:Choice>
          <mc:Fallback>
            <w:pict>
              <v:shape id="_x0000_s1026" o:spid="_x0000_s1026" o:spt="80" type="#_x0000_t80" style="position:absolute;left:0pt;margin-left:1.65pt;margin-top:0.9pt;height:33pt;width:414pt;z-index:251666432;mso-width-relative:page;mso-height-relative:page;" coordsize="21600,21600" o:gfxdata="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qwNzXRAAAABgEAAA8AAAAAAAAAAQAgAAAAIgAAAGRycy9kb3ducmV2LnhtbFBL&#10;AQIUABQAAAAIAIdO4kACRaQ4bwIAAOwEAAAOAAAAAAAAAAEAIAAAACABAABkcnMvZTJvRG9jLnht&#10;bFBLBQYAAAAABgAGAFkBAAABBgAAAAA=&#10;" adj=",6563,16527,8664">
                <v:path/>
                <v:fill focussize="0,0"/>
                <v:stroke/>
                <v:imagedata o:title=""/>
                <o:lock v:ext="edit"/>
                <v:textbox>
                  <w:txbxContent>
                    <w:p>
                      <w:pPr>
                        <w:jc w:val="center"/>
                        <w:rPr>
                          <w:sz w:val="18"/>
                          <w:szCs w:val="18"/>
                        </w:rPr>
                      </w:pPr>
                      <w:r>
                        <w:rPr>
                          <w:rFonts w:hint="eastAsia" w:ascii="宋体" w:hAnsi="宋体"/>
                          <w:sz w:val="18"/>
                          <w:szCs w:val="18"/>
                        </w:rPr>
                        <w:t>审查通过后由项目主体向区国土分局提交成本审核申请，区国土分局对成本审核报告规范性进行审查</w:t>
                      </w:r>
                    </w:p>
                  </w:txbxContent>
                </v:textbox>
              </v:shape>
            </w:pict>
          </mc:Fallback>
        </mc:AlternateContent>
      </w:r>
    </w:p>
    <w:p>
      <w:pPr>
        <w:spacing w:line="560" w:lineRule="exact"/>
        <w:ind w:firstLine="420" w:firstLineChars="200"/>
        <w:rPr>
          <w:rFonts w:ascii="仿宋_GB2312" w:hAnsi="仿宋" w:eastAsia="仿宋_GB2312"/>
          <w:sz w:val="32"/>
          <w:szCs w:val="32"/>
        </w:rPr>
      </w:pPr>
      <w:r>
        <mc:AlternateContent>
          <mc:Choice Requires="wps">
            <w:drawing>
              <wp:anchor distT="0" distB="0" distL="114300" distR="114300" simplePos="0" relativeHeight="251667456" behindDoc="0" locked="0" layoutInCell="1" allowOverlap="1">
                <wp:simplePos x="0" y="0"/>
                <wp:positionH relativeFrom="column">
                  <wp:posOffset>20955</wp:posOffset>
                </wp:positionH>
                <wp:positionV relativeFrom="paragraph">
                  <wp:posOffset>84455</wp:posOffset>
                </wp:positionV>
                <wp:extent cx="5257800" cy="1266825"/>
                <wp:effectExtent l="5080" t="4445" r="10160" b="8890"/>
                <wp:wrapNone/>
                <wp:docPr id="31" name="下箭头标注 13"/>
                <wp:cNvGraphicFramePr/>
                <a:graphic xmlns:a="http://schemas.openxmlformats.org/drawingml/2006/main">
                  <a:graphicData uri="http://schemas.microsoft.com/office/word/2010/wordprocessingShape">
                    <wps:wsp>
                      <wps:cNvSpPr>
                        <a:spLocks noChangeArrowheads="1"/>
                      </wps:cNvSpPr>
                      <wps:spPr bwMode="auto">
                        <a:xfrm>
                          <a:off x="0" y="0"/>
                          <a:ext cx="5257800" cy="1266825"/>
                        </a:xfrm>
                        <a:prstGeom prst="downArrowCallout">
                          <a:avLst>
                            <a:gd name="adj1" fmla="val 81988"/>
                            <a:gd name="adj2" fmla="val 80487"/>
                            <a:gd name="adj3" fmla="val 10306"/>
                            <a:gd name="adj4" fmla="val 82648"/>
                          </a:avLst>
                        </a:prstGeom>
                        <a:solidFill>
                          <a:srgbClr val="FFFFFF"/>
                        </a:solidFill>
                        <a:ln w="9525">
                          <a:solidFill>
                            <a:srgbClr val="000000"/>
                          </a:solidFill>
                          <a:miter lim="800000"/>
                        </a:ln>
                        <a:effectLst/>
                      </wps:spPr>
                      <wps:txbx>
                        <w:txbxContent>
                          <w:p>
                            <w:pPr>
                              <w:jc w:val="center"/>
                            </w:pPr>
                            <w:r>
                              <w:rPr>
                                <w:rFonts w:hint="eastAsia" w:ascii="宋体" w:hAnsi="宋体"/>
                                <w:sz w:val="18"/>
                                <w:szCs w:val="18"/>
                              </w:rPr>
                              <w:t>涉及北部生态科技新区范围内的项目，由区国土分局向北部开发建设指挥平台提交组织召开成本预研会的申请，北部开发建设指挥平台组织有关单位进行研究并出具成本预研意见。涉及</w:t>
                            </w:r>
                            <w:r>
                              <w:rPr>
                                <w:rFonts w:hint="eastAsia" w:ascii="宋体" w:hAnsi="宋体" w:cs="宋体"/>
                                <w:sz w:val="18"/>
                                <w:szCs w:val="18"/>
                              </w:rPr>
                              <w:t>中部</w:t>
                            </w:r>
                            <w:r>
                              <w:rPr>
                                <w:rFonts w:hint="eastAsia" w:ascii="宋体" w:cs="宋体"/>
                                <w:sz w:val="18"/>
                                <w:szCs w:val="18"/>
                              </w:rPr>
                              <w:t>“</w:t>
                            </w:r>
                            <w:r>
                              <w:rPr>
                                <w:rFonts w:hint="eastAsia" w:ascii="宋体" w:hAnsi="宋体" w:cs="宋体"/>
                                <w:sz w:val="18"/>
                                <w:szCs w:val="18"/>
                              </w:rPr>
                              <w:t>三山五园</w:t>
                            </w:r>
                            <w:r>
                              <w:rPr>
                                <w:rFonts w:hint="eastAsia" w:ascii="宋体" w:cs="宋体"/>
                                <w:sz w:val="18"/>
                                <w:szCs w:val="18"/>
                              </w:rPr>
                              <w:t>”</w:t>
                            </w:r>
                            <w:r>
                              <w:rPr>
                                <w:rFonts w:hint="eastAsia" w:ascii="宋体" w:hAnsi="宋体" w:cs="宋体"/>
                                <w:sz w:val="18"/>
                                <w:szCs w:val="18"/>
                              </w:rPr>
                              <w:t>历史文化景区、南部</w:t>
                            </w:r>
                            <w:r>
                              <w:rPr>
                                <w:rFonts w:hint="eastAsia" w:ascii="宋体" w:hAnsi="宋体"/>
                                <w:sz w:val="18"/>
                                <w:szCs w:val="18"/>
                              </w:rPr>
                              <w:t>中关村科学城地区范围内的项目，由区国土分局组织召开区土地储备开发联席会预备会进行成本初审。审计单位根据北部开发建设指挥平台成本预研意见及区土地储备开发联席会预备会初审意见，对项目成本审核报告进行完善并由项目主体进行确认</w:t>
                            </w:r>
                          </w:p>
                        </w:txbxContent>
                      </wps:txbx>
                      <wps:bodyPr rot="0" vert="horz" wrap="square" lIns="91440" tIns="45720" rIns="91440" bIns="45720" anchor="t" anchorCtr="0" upright="1">
                        <a:noAutofit/>
                      </wps:bodyPr>
                    </wps:wsp>
                  </a:graphicData>
                </a:graphic>
              </wp:anchor>
            </w:drawing>
          </mc:Choice>
          <mc:Fallback>
            <w:pict>
              <v:shape id="下箭头标注 13" o:spid="_x0000_s1026" o:spt="80" type="#_x0000_t80" style="position:absolute;left:0pt;margin-left:1.65pt;margin-top:6.65pt;height:99.75pt;width:414pt;z-index:251667456;mso-width-relative:page;mso-height-relative:page;" coordsize="21600,21600" o:gfxdata="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A4x96nXAAAACAEAAA8AAAAAAAAAAQAgAAAAIgAAAGRycy9kb3ducmV2&#10;LnhtbFBLAQIUABQAAAAIAIdO4kARoxhObwIAAOsEAAAOAAAAAAAAAAEAIAAAACYBAABkcnMvZTJv&#10;RG9jLnhtbFBLBQYAAAAABgAGAFkBAAAHBgAAAAA=&#10;" adj="17852,6611,19374,8667">
                <v:path/>
                <v:fill focussize="0,0"/>
                <v:stroke/>
                <v:imagedata o:title=""/>
                <o:lock v:ext="edit"/>
                <v:textbox>
                  <w:txbxContent>
                    <w:p>
                      <w:pPr>
                        <w:jc w:val="center"/>
                      </w:pPr>
                      <w:r>
                        <w:rPr>
                          <w:rFonts w:hint="eastAsia" w:ascii="宋体" w:hAnsi="宋体"/>
                          <w:sz w:val="18"/>
                          <w:szCs w:val="18"/>
                        </w:rPr>
                        <w:t>涉及北部生态科技新区范围内的项目，由区国土分局向北部开发建设指挥平台提交组织召开成本预研会的申请，北部开发建设指挥平台组织有关单位进行研究并出具成本预研意见。涉及</w:t>
                      </w:r>
                      <w:r>
                        <w:rPr>
                          <w:rFonts w:hint="eastAsia" w:ascii="宋体" w:hAnsi="宋体" w:cs="宋体"/>
                          <w:sz w:val="18"/>
                          <w:szCs w:val="18"/>
                        </w:rPr>
                        <w:t>中部</w:t>
                      </w:r>
                      <w:r>
                        <w:rPr>
                          <w:rFonts w:hint="eastAsia" w:ascii="宋体" w:cs="宋体"/>
                          <w:sz w:val="18"/>
                          <w:szCs w:val="18"/>
                        </w:rPr>
                        <w:t>“</w:t>
                      </w:r>
                      <w:r>
                        <w:rPr>
                          <w:rFonts w:hint="eastAsia" w:ascii="宋体" w:hAnsi="宋体" w:cs="宋体"/>
                          <w:sz w:val="18"/>
                          <w:szCs w:val="18"/>
                        </w:rPr>
                        <w:t>三山五园</w:t>
                      </w:r>
                      <w:r>
                        <w:rPr>
                          <w:rFonts w:hint="eastAsia" w:ascii="宋体" w:cs="宋体"/>
                          <w:sz w:val="18"/>
                          <w:szCs w:val="18"/>
                        </w:rPr>
                        <w:t>”</w:t>
                      </w:r>
                      <w:r>
                        <w:rPr>
                          <w:rFonts w:hint="eastAsia" w:ascii="宋体" w:hAnsi="宋体" w:cs="宋体"/>
                          <w:sz w:val="18"/>
                          <w:szCs w:val="18"/>
                        </w:rPr>
                        <w:t>历史文化景区、南部</w:t>
                      </w:r>
                      <w:r>
                        <w:rPr>
                          <w:rFonts w:hint="eastAsia" w:ascii="宋体" w:hAnsi="宋体"/>
                          <w:sz w:val="18"/>
                          <w:szCs w:val="18"/>
                        </w:rPr>
                        <w:t>中关村科学城地区范围内的项目，由区国土分局组织召开区土地储备开发联席会预备会进行成本初审。审计单位根据北部开发建设指挥平台成本预研意见及区土地储备开发联席会预备会初审意见，对项目成本审核报告进行完善并由项目主体进行确认</w:t>
                      </w:r>
                    </w:p>
                  </w:txbxContent>
                </v:textbox>
              </v:shape>
            </w:pict>
          </mc:Fallback>
        </mc:AlternateContent>
      </w: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420" w:firstLineChars="200"/>
        <w:rPr>
          <w:rFonts w:ascii="仿宋_GB2312" w:hAnsi="仿宋" w:eastAsia="仿宋_GB2312"/>
          <w:sz w:val="32"/>
          <w:szCs w:val="32"/>
        </w:rPr>
      </w:pPr>
      <w:r>
        <mc:AlternateContent>
          <mc:Choice Requires="wps">
            <w:drawing>
              <wp:anchor distT="0" distB="0" distL="114300" distR="114300" simplePos="0" relativeHeight="251669504" behindDoc="0" locked="0" layoutInCell="1" allowOverlap="1">
                <wp:simplePos x="0" y="0"/>
                <wp:positionH relativeFrom="column">
                  <wp:posOffset>20955</wp:posOffset>
                </wp:positionH>
                <wp:positionV relativeFrom="paragraph">
                  <wp:posOffset>294005</wp:posOffset>
                </wp:positionV>
                <wp:extent cx="5257800" cy="403860"/>
                <wp:effectExtent l="5080" t="4445" r="10160" b="18415"/>
                <wp:wrapNone/>
                <wp:docPr id="32" name="下箭头标注 7"/>
                <wp:cNvGraphicFramePr/>
                <a:graphic xmlns:a="http://schemas.openxmlformats.org/drawingml/2006/main">
                  <a:graphicData uri="http://schemas.microsoft.com/office/word/2010/wordprocessingShape">
                    <wps:wsp>
                      <wps:cNvSpPr>
                        <a:spLocks noChangeArrowheads="1"/>
                      </wps:cNvSpPr>
                      <wps:spPr bwMode="auto">
                        <a:xfrm>
                          <a:off x="0" y="0"/>
                          <a:ext cx="5257800" cy="403860"/>
                        </a:xfrm>
                        <a:prstGeom prst="downArrowCallout">
                          <a:avLst>
                            <a:gd name="adj1" fmla="val 265560"/>
                            <a:gd name="adj2" fmla="val 256126"/>
                            <a:gd name="adj3" fmla="val 23742"/>
                            <a:gd name="adj4" fmla="val 64308"/>
                          </a:avLst>
                        </a:prstGeom>
                        <a:solidFill>
                          <a:srgbClr val="FFFFFF"/>
                        </a:solidFill>
                        <a:ln w="9525">
                          <a:solidFill>
                            <a:srgbClr val="000000"/>
                          </a:solidFill>
                          <a:miter lim="800000"/>
                        </a:ln>
                        <a:effectLst/>
                      </wps:spPr>
                      <wps:txbx>
                        <w:txbxContent>
                          <w:p>
                            <w:pPr>
                              <w:jc w:val="center"/>
                              <w:rPr>
                                <w:sz w:val="18"/>
                                <w:szCs w:val="18"/>
                              </w:rPr>
                            </w:pPr>
                            <w:r>
                              <w:rPr>
                                <w:rFonts w:hint="eastAsia" w:ascii="宋体" w:hAnsi="宋体"/>
                                <w:sz w:val="18"/>
                                <w:szCs w:val="18"/>
                              </w:rPr>
                              <w:t>项目主体向区国土分局提交区土地储备开发联席会成本预审申请</w:t>
                            </w:r>
                          </w:p>
                        </w:txbxContent>
                      </wps:txbx>
                      <wps:bodyPr rot="0" vert="horz" wrap="square" lIns="91440" tIns="45720" rIns="91440" bIns="45720" anchor="t" anchorCtr="0" upright="1">
                        <a:noAutofit/>
                      </wps:bodyPr>
                    </wps:wsp>
                  </a:graphicData>
                </a:graphic>
              </wp:anchor>
            </w:drawing>
          </mc:Choice>
          <mc:Fallback>
            <w:pict>
              <v:shape id="下箭头标注 7" o:spid="_x0000_s1026" o:spt="80" type="#_x0000_t80" style="position:absolute;left:0pt;margin-left:1.65pt;margin-top:23.15pt;height:31.8pt;width:414pt;z-index:251669504;mso-width-relative:page;mso-height-relative:page;" coordsize="21600,21600" o:gfxdata="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Q5O/PXAAAACAEAAA8AAAAAAAAAAQAgAAAAIgAAAGRycy9k&#10;b3ducmV2LnhtbFBLAQIUABQAAAAIAIdO4kB9/PjsdQIAAOsEAAAOAAAAAAAAAAEAIAAAACYBAABk&#10;cnMvZTJvRG9jLnhtbFBLBQYAAAAABgAGAFkBAAANBgAAAAA=&#10;" adj="13891,6551,16472,8597">
                <v:path/>
                <v:fill focussize="0,0"/>
                <v:stroke/>
                <v:imagedata o:title=""/>
                <o:lock v:ext="edit"/>
                <v:textbox>
                  <w:txbxContent>
                    <w:p>
                      <w:pPr>
                        <w:jc w:val="center"/>
                        <w:rPr>
                          <w:sz w:val="18"/>
                          <w:szCs w:val="18"/>
                        </w:rPr>
                      </w:pPr>
                      <w:r>
                        <w:rPr>
                          <w:rFonts w:hint="eastAsia" w:ascii="宋体" w:hAnsi="宋体"/>
                          <w:sz w:val="18"/>
                          <w:szCs w:val="18"/>
                        </w:rPr>
                        <w:t>项目主体向区国土分局提交区土地储备开发联席会成本预审申请</w:t>
                      </w:r>
                    </w:p>
                  </w:txbxContent>
                </v:textbox>
              </v:shape>
            </w:pict>
          </mc:Fallback>
        </mc:AlternateContent>
      </w:r>
    </w:p>
    <w:p>
      <w:pPr>
        <w:spacing w:line="560" w:lineRule="exact"/>
        <w:ind w:firstLine="420" w:firstLineChars="200"/>
        <w:rPr>
          <w:rFonts w:ascii="仿宋_GB2312" w:hAnsi="仿宋" w:eastAsia="仿宋_GB2312"/>
          <w:sz w:val="32"/>
          <w:szCs w:val="32"/>
        </w:rPr>
      </w:pPr>
      <w:r>
        <mc:AlternateContent>
          <mc:Choice Requires="wps">
            <w:drawing>
              <wp:anchor distT="0" distB="0" distL="114300" distR="114300" simplePos="0" relativeHeight="251668480" behindDoc="0" locked="0" layoutInCell="1" allowOverlap="1">
                <wp:simplePos x="0" y="0"/>
                <wp:positionH relativeFrom="column">
                  <wp:posOffset>20955</wp:posOffset>
                </wp:positionH>
                <wp:positionV relativeFrom="paragraph">
                  <wp:posOffset>347980</wp:posOffset>
                </wp:positionV>
                <wp:extent cx="5257800" cy="666750"/>
                <wp:effectExtent l="4445" t="4445" r="10795" b="14605"/>
                <wp:wrapNone/>
                <wp:docPr id="33" name="下箭头标注 7"/>
                <wp:cNvGraphicFramePr/>
                <a:graphic xmlns:a="http://schemas.openxmlformats.org/drawingml/2006/main">
                  <a:graphicData uri="http://schemas.microsoft.com/office/word/2010/wordprocessingShape">
                    <wps:wsp>
                      <wps:cNvSpPr>
                        <a:spLocks noChangeArrowheads="1"/>
                      </wps:cNvSpPr>
                      <wps:spPr bwMode="auto">
                        <a:xfrm>
                          <a:off x="0" y="0"/>
                          <a:ext cx="5257800" cy="666750"/>
                        </a:xfrm>
                        <a:prstGeom prst="downArrowCallout">
                          <a:avLst>
                            <a:gd name="adj1" fmla="val 161194"/>
                            <a:gd name="adj2" fmla="val 154051"/>
                            <a:gd name="adj3" fmla="val 16667"/>
                            <a:gd name="adj4" fmla="val 73810"/>
                          </a:avLst>
                        </a:prstGeom>
                        <a:solidFill>
                          <a:srgbClr val="FFFFFF"/>
                        </a:solidFill>
                        <a:ln w="9525">
                          <a:solidFill>
                            <a:srgbClr val="000000"/>
                          </a:solidFill>
                          <a:miter lim="800000"/>
                        </a:ln>
                        <a:effectLst/>
                      </wps:spPr>
                      <wps:txbx>
                        <w:txbxContent>
                          <w:p>
                            <w:pPr>
                              <w:jc w:val="center"/>
                              <w:rPr>
                                <w:sz w:val="18"/>
                                <w:szCs w:val="18"/>
                              </w:rPr>
                            </w:pPr>
                            <w:r>
                              <w:rPr>
                                <w:rFonts w:hint="eastAsia" w:ascii="宋体" w:hAnsi="宋体"/>
                                <w:sz w:val="18"/>
                                <w:szCs w:val="18"/>
                              </w:rPr>
                              <w:t>区国土分局提请区政府组织召开区土地储备开发联席会审核成本，形成审核结果（即会议纪要）印发相关单位</w:t>
                            </w:r>
                          </w:p>
                        </w:txbxContent>
                      </wps:txbx>
                      <wps:bodyPr rot="0" vert="horz" wrap="square" lIns="91440" tIns="45720" rIns="91440" bIns="45720" anchor="t" anchorCtr="0" upright="1">
                        <a:noAutofit/>
                      </wps:bodyPr>
                    </wps:wsp>
                  </a:graphicData>
                </a:graphic>
              </wp:anchor>
            </w:drawing>
          </mc:Choice>
          <mc:Fallback>
            <w:pict>
              <v:shape id="下箭头标注 7" o:spid="_x0000_s1026" o:spt="80" type="#_x0000_t80" style="position:absolute;left:0pt;margin-left:1.65pt;margin-top:27.4pt;height:52.5pt;width:414pt;z-index:251668480;mso-width-relative:page;mso-height-relative:page;" coordsize="21600,21600" o:gfxdata="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BPOCMbWAAAACAEAAA8AAAAAAAAAAQAgAAAAIgAAAGRycy9kb3du&#10;cmV2LnhtbFBLAQIUABQAAAAIAIdO4kAdWtc7cwIAAOsEAAAOAAAAAAAAAAEAIAAAACUBAABkcnMv&#10;ZTJvRG9jLnhtbFBLBQYAAAAABgAGAFkBAAAKBgAAAAA=&#10;" adj="15943,6580,,8592">
                <v:path/>
                <v:fill focussize="0,0"/>
                <v:stroke/>
                <v:imagedata o:title=""/>
                <o:lock v:ext="edit"/>
                <v:textbox>
                  <w:txbxContent>
                    <w:p>
                      <w:pPr>
                        <w:jc w:val="center"/>
                        <w:rPr>
                          <w:sz w:val="18"/>
                          <w:szCs w:val="18"/>
                        </w:rPr>
                      </w:pPr>
                      <w:r>
                        <w:rPr>
                          <w:rFonts w:hint="eastAsia" w:ascii="宋体" w:hAnsi="宋体"/>
                          <w:sz w:val="18"/>
                          <w:szCs w:val="18"/>
                        </w:rPr>
                        <w:t>区国土分局提请区政府组织召开区土地储备开发联席会审核成本，形成审核结果（即会议纪要）印发相关单位</w:t>
                      </w:r>
                    </w:p>
                  </w:txbxContent>
                </v:textbox>
              </v:shape>
            </w:pict>
          </mc:Fallback>
        </mc:AlternateContent>
      </w:r>
    </w:p>
    <w:p>
      <w:pPr>
        <w:spacing w:line="560" w:lineRule="exact"/>
        <w:ind w:firstLine="640" w:firstLineChars="200"/>
        <w:rPr>
          <w:rFonts w:ascii="仿宋_GB2312" w:hAnsi="仿宋" w:eastAsia="仿宋_GB2312"/>
          <w:sz w:val="32"/>
          <w:szCs w:val="32"/>
        </w:rPr>
      </w:pPr>
    </w:p>
    <w:p>
      <w:pPr>
        <w:spacing w:line="560" w:lineRule="exact"/>
        <w:ind w:firstLine="420" w:firstLineChars="200"/>
        <w:rPr>
          <w:rFonts w:ascii="仿宋_GB2312" w:hAnsi="仿宋" w:eastAsia="仿宋_GB2312"/>
          <w:sz w:val="32"/>
          <w:szCs w:val="32"/>
        </w:rPr>
      </w:pPr>
      <w:r>
        <mc:AlternateContent>
          <mc:Choice Requires="wps">
            <w:drawing>
              <wp:anchor distT="0" distB="0" distL="114300" distR="114300" simplePos="0" relativeHeight="251670528" behindDoc="0" locked="0" layoutInCell="1" allowOverlap="1">
                <wp:simplePos x="0" y="0"/>
                <wp:positionH relativeFrom="column">
                  <wp:posOffset>20955</wp:posOffset>
                </wp:positionH>
                <wp:positionV relativeFrom="paragraph">
                  <wp:posOffset>313055</wp:posOffset>
                </wp:positionV>
                <wp:extent cx="5257800" cy="651510"/>
                <wp:effectExtent l="5080" t="4445" r="10160" b="14605"/>
                <wp:wrapNone/>
                <wp:docPr id="34" name="下箭头标注 7"/>
                <wp:cNvGraphicFramePr/>
                <a:graphic xmlns:a="http://schemas.openxmlformats.org/drawingml/2006/main">
                  <a:graphicData uri="http://schemas.microsoft.com/office/word/2010/wordprocessingShape">
                    <wps:wsp>
                      <wps:cNvSpPr>
                        <a:spLocks noChangeArrowheads="1"/>
                      </wps:cNvSpPr>
                      <wps:spPr bwMode="auto">
                        <a:xfrm>
                          <a:off x="0" y="0"/>
                          <a:ext cx="5257800" cy="651510"/>
                        </a:xfrm>
                        <a:prstGeom prst="downArrowCallout">
                          <a:avLst>
                            <a:gd name="adj1" fmla="val 162063"/>
                            <a:gd name="adj2" fmla="val 154753"/>
                            <a:gd name="adj3" fmla="val 16667"/>
                            <a:gd name="adj4" fmla="val 73977"/>
                          </a:avLst>
                        </a:prstGeom>
                        <a:solidFill>
                          <a:srgbClr val="FFFFFF"/>
                        </a:solidFill>
                        <a:ln w="9525">
                          <a:solidFill>
                            <a:srgbClr val="000000"/>
                          </a:solidFill>
                          <a:miter lim="800000"/>
                        </a:ln>
                        <a:effectLst/>
                      </wps:spPr>
                      <wps:txbx>
                        <w:txbxContent>
                          <w:p>
                            <w:pPr>
                              <w:jc w:val="center"/>
                              <w:rPr>
                                <w:sz w:val="18"/>
                                <w:szCs w:val="18"/>
                              </w:rPr>
                            </w:pPr>
                            <w:r>
                              <w:rPr>
                                <w:rFonts w:hint="eastAsia" w:ascii="宋体" w:hAnsi="宋体"/>
                                <w:sz w:val="18"/>
                                <w:szCs w:val="18"/>
                              </w:rPr>
                              <w:t>区国土分局以区政府名义上报项目成本审核报告并提请市国土局组织召开市级土地储备开发项目成本预审会，对项目成本进行审核</w:t>
                            </w:r>
                          </w:p>
                        </w:txbxContent>
                      </wps:txbx>
                      <wps:bodyPr rot="0" vert="horz" wrap="square" lIns="91440" tIns="45720" rIns="91440" bIns="45720" anchor="t" anchorCtr="0" upright="1">
                        <a:noAutofit/>
                      </wps:bodyPr>
                    </wps:wsp>
                  </a:graphicData>
                </a:graphic>
              </wp:anchor>
            </w:drawing>
          </mc:Choice>
          <mc:Fallback>
            <w:pict>
              <v:shape id="下箭头标注 7" o:spid="_x0000_s1026" o:spt="80" type="#_x0000_t80" style="position:absolute;left:0pt;margin-left:1.65pt;margin-top:24.65pt;height:51.3pt;width:414pt;z-index:251670528;mso-width-relative:page;mso-height-relative:page;" coordsize="21600,21600" o:gfxdata="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BIU+i9UAAAAIAQAADwAAAAAAAAABACAAAAAiAAAAZHJzL2Rv&#10;d25yZXYueG1sUEsBAhQAFAAAAAgAh07iQK9xALN2AgAA6wQAAA4AAAAAAAAAAQAgAAAAJAEAAGRy&#10;cy9lMm9Eb2MueG1sUEsFBgAAAAAGAAYAWQEAAAwGAAAAAA==&#10;" adj="15979,6658,,8631">
                <v:path/>
                <v:fill focussize="0,0"/>
                <v:stroke/>
                <v:imagedata o:title=""/>
                <o:lock v:ext="edit"/>
                <v:textbox>
                  <w:txbxContent>
                    <w:p>
                      <w:pPr>
                        <w:jc w:val="center"/>
                        <w:rPr>
                          <w:sz w:val="18"/>
                          <w:szCs w:val="18"/>
                        </w:rPr>
                      </w:pPr>
                      <w:r>
                        <w:rPr>
                          <w:rFonts w:hint="eastAsia" w:ascii="宋体" w:hAnsi="宋体"/>
                          <w:sz w:val="18"/>
                          <w:szCs w:val="18"/>
                        </w:rPr>
                        <w:t>区国土分局以区政府名义上报项目成本审核报告并提请市国土局组织召开市级土地储备开发项目成本预审会，对项目成本进行审核</w:t>
                      </w:r>
                    </w:p>
                  </w:txbxContent>
                </v:textbox>
              </v:shape>
            </w:pict>
          </mc:Fallback>
        </mc:AlternateContent>
      </w:r>
    </w:p>
    <w:p>
      <w:pPr>
        <w:spacing w:line="560" w:lineRule="exact"/>
        <w:ind w:firstLine="640" w:firstLineChars="200"/>
        <w:rPr>
          <w:rFonts w:ascii="仿宋_GB2312" w:hAnsi="仿宋" w:eastAsia="仿宋_GB2312"/>
          <w:sz w:val="32"/>
          <w:szCs w:val="32"/>
        </w:rPr>
      </w:pPr>
    </w:p>
    <w:p>
      <w:pPr>
        <w:spacing w:line="560" w:lineRule="exact"/>
        <w:ind w:firstLine="420" w:firstLineChars="200"/>
        <w:rPr>
          <w:rFonts w:ascii="仿宋_GB2312" w:hAnsi="仿宋" w:eastAsia="仿宋_GB2312"/>
          <w:sz w:val="32"/>
          <w:szCs w:val="32"/>
        </w:rPr>
      </w:pPr>
      <w:r>
        <mc:AlternateContent>
          <mc:Choice Requires="wps">
            <w:drawing>
              <wp:anchor distT="0" distB="0" distL="114300" distR="114300" simplePos="0" relativeHeight="251671552" behindDoc="0" locked="0" layoutInCell="1" allowOverlap="1">
                <wp:simplePos x="0" y="0"/>
                <wp:positionH relativeFrom="column">
                  <wp:posOffset>20955</wp:posOffset>
                </wp:positionH>
                <wp:positionV relativeFrom="paragraph">
                  <wp:posOffset>259080</wp:posOffset>
                </wp:positionV>
                <wp:extent cx="5257800" cy="651510"/>
                <wp:effectExtent l="5080" t="4445" r="10160" b="14605"/>
                <wp:wrapNone/>
                <wp:docPr id="35" name="下箭头标注 7"/>
                <wp:cNvGraphicFramePr/>
                <a:graphic xmlns:a="http://schemas.openxmlformats.org/drawingml/2006/main">
                  <a:graphicData uri="http://schemas.microsoft.com/office/word/2010/wordprocessingShape">
                    <wps:wsp>
                      <wps:cNvSpPr>
                        <a:spLocks noChangeArrowheads="1"/>
                      </wps:cNvSpPr>
                      <wps:spPr bwMode="auto">
                        <a:xfrm>
                          <a:off x="0" y="0"/>
                          <a:ext cx="5257800" cy="651510"/>
                        </a:xfrm>
                        <a:prstGeom prst="downArrowCallout">
                          <a:avLst>
                            <a:gd name="adj1" fmla="val 162063"/>
                            <a:gd name="adj2" fmla="val 153291"/>
                            <a:gd name="adj3" fmla="val 16667"/>
                            <a:gd name="adj4" fmla="val 72515"/>
                          </a:avLst>
                        </a:prstGeom>
                        <a:solidFill>
                          <a:srgbClr val="FFFFFF"/>
                        </a:solidFill>
                        <a:ln w="9525">
                          <a:solidFill>
                            <a:srgbClr val="000000"/>
                          </a:solidFill>
                          <a:miter lim="800000"/>
                        </a:ln>
                        <a:effectLst/>
                      </wps:spPr>
                      <wps:txbx>
                        <w:txbxContent>
                          <w:p>
                            <w:pPr>
                              <w:jc w:val="center"/>
                              <w:rPr>
                                <w:sz w:val="18"/>
                                <w:szCs w:val="18"/>
                              </w:rPr>
                            </w:pPr>
                            <w:r>
                              <w:rPr>
                                <w:rFonts w:hint="eastAsia" w:ascii="宋体" w:hAnsi="宋体"/>
                                <w:sz w:val="18"/>
                                <w:szCs w:val="18"/>
                              </w:rPr>
                              <w:t>储备分中心向市级土地储备开发项目成本预审会汇报项目成本审核报告，区相关部门做好市级相关部门的对口协调工作。会议通过后由市储备中心提请地价专家会审议</w:t>
                            </w:r>
                          </w:p>
                        </w:txbxContent>
                      </wps:txbx>
                      <wps:bodyPr rot="0" vert="horz" wrap="square" lIns="91440" tIns="45720" rIns="91440" bIns="45720" anchor="t" anchorCtr="0" upright="1">
                        <a:noAutofit/>
                      </wps:bodyPr>
                    </wps:wsp>
                  </a:graphicData>
                </a:graphic>
              </wp:anchor>
            </w:drawing>
          </mc:Choice>
          <mc:Fallback>
            <w:pict>
              <v:shape id="下箭头标注 7" o:spid="_x0000_s1026" o:spt="80" type="#_x0000_t80" style="position:absolute;left:0pt;margin-left:1.65pt;margin-top:20.4pt;height:51.3pt;width:414pt;z-index:251671552;mso-width-relative:page;mso-height-relative:page;" coordsize="21600,21600" o:gfxdata="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3MrYQdcAAAAIAQAADwAAAAAAAAABACAAAAAiAAAAZHJzL2Rv&#10;d25yZXYueG1sUEsBAhQAFAAAAAgAh07iQJGapd50AgAA6wQAAA4AAAAAAAAAAQAgAAAAJgEAAGRy&#10;cy9lMm9Eb2MueG1sUEsFBgAAAAAGAAYAWQEAAAwGAAAAAA==&#10;" adj="15663,6697,,8631">
                <v:path/>
                <v:fill focussize="0,0"/>
                <v:stroke/>
                <v:imagedata o:title=""/>
                <o:lock v:ext="edit"/>
                <v:textbox>
                  <w:txbxContent>
                    <w:p>
                      <w:pPr>
                        <w:jc w:val="center"/>
                        <w:rPr>
                          <w:sz w:val="18"/>
                          <w:szCs w:val="18"/>
                        </w:rPr>
                      </w:pPr>
                      <w:r>
                        <w:rPr>
                          <w:rFonts w:hint="eastAsia" w:ascii="宋体" w:hAnsi="宋体"/>
                          <w:sz w:val="18"/>
                          <w:szCs w:val="18"/>
                        </w:rPr>
                        <w:t>储备分中心向市级土地储备开发项目成本预审会汇报项目成本审核报告，区相关部门做好市级相关部门的对口协调工作。会议通过后由市储备中心提请地价专家会审议</w:t>
                      </w:r>
                    </w:p>
                  </w:txbxContent>
                </v:textbox>
              </v:shape>
            </w:pict>
          </mc:Fallback>
        </mc:AlternateContent>
      </w:r>
    </w:p>
    <w:p>
      <w:pPr>
        <w:spacing w:line="560" w:lineRule="exact"/>
        <w:ind w:firstLine="640" w:firstLineChars="200"/>
        <w:rPr>
          <w:rFonts w:ascii="仿宋_GB2312" w:hAnsi="仿宋" w:eastAsia="仿宋_GB2312"/>
          <w:sz w:val="32"/>
          <w:szCs w:val="32"/>
        </w:rPr>
      </w:pPr>
    </w:p>
    <w:p>
      <w:pPr>
        <w:spacing w:line="580" w:lineRule="exact"/>
        <w:ind w:firstLine="420" w:firstLineChars="200"/>
        <w:outlineLvl w:val="0"/>
        <w:rPr>
          <w:rFonts w:ascii="仿宋_GB2312" w:hAnsi="黑体" w:eastAsia="仿宋_GB2312"/>
          <w:b/>
          <w:sz w:val="32"/>
          <w:szCs w:val="32"/>
        </w:rPr>
      </w:pPr>
      <w:r>
        <mc:AlternateContent>
          <mc:Choice Requires="wps">
            <w:drawing>
              <wp:anchor distT="0" distB="0" distL="114300" distR="114300" simplePos="0" relativeHeight="251665408" behindDoc="0" locked="0" layoutInCell="1" allowOverlap="1">
                <wp:simplePos x="0" y="0"/>
                <wp:positionH relativeFrom="column">
                  <wp:posOffset>20955</wp:posOffset>
                </wp:positionH>
                <wp:positionV relativeFrom="paragraph">
                  <wp:posOffset>205105</wp:posOffset>
                </wp:positionV>
                <wp:extent cx="5257800" cy="876300"/>
                <wp:effectExtent l="4445" t="4445" r="10795" b="18415"/>
                <wp:wrapNone/>
                <wp:docPr id="36" name="矩形 36"/>
                <wp:cNvGraphicFramePr/>
                <a:graphic xmlns:a="http://schemas.openxmlformats.org/drawingml/2006/main">
                  <a:graphicData uri="http://schemas.microsoft.com/office/word/2010/wordprocessingShape">
                    <wps:wsp>
                      <wps:cNvSpPr>
                        <a:spLocks noChangeArrowheads="1"/>
                      </wps:cNvSpPr>
                      <wps:spPr bwMode="auto">
                        <a:xfrm>
                          <a:off x="0" y="0"/>
                          <a:ext cx="5257800" cy="876300"/>
                        </a:xfrm>
                        <a:prstGeom prst="rect">
                          <a:avLst/>
                        </a:prstGeom>
                        <a:solidFill>
                          <a:srgbClr val="FFFFFF"/>
                        </a:solidFill>
                        <a:ln w="9525">
                          <a:solidFill>
                            <a:srgbClr val="000000"/>
                          </a:solidFill>
                          <a:miter lim="800000"/>
                        </a:ln>
                        <a:effectLst/>
                      </wps:spPr>
                      <wps:txbx>
                        <w:txbxContent>
                          <w:p>
                            <w:pPr>
                              <w:jc w:val="center"/>
                              <w:rPr>
                                <w:rFonts w:ascii="宋体"/>
                                <w:sz w:val="18"/>
                                <w:szCs w:val="18"/>
                              </w:rPr>
                            </w:pPr>
                            <w:r>
                              <w:rPr>
                                <w:rFonts w:hint="eastAsia" w:ascii="宋体" w:hAnsi="宋体"/>
                                <w:sz w:val="18"/>
                                <w:szCs w:val="18"/>
                              </w:rPr>
                              <w:t>项目竣工财务决算由项目主体、区国土分局、区财政局等部门依据《北京市土地储备资金财务管理暂行办法》（京财经二〔</w:t>
                            </w:r>
                            <w:r>
                              <w:rPr>
                                <w:rFonts w:ascii="宋体" w:hAnsi="宋体"/>
                                <w:sz w:val="18"/>
                                <w:szCs w:val="18"/>
                              </w:rPr>
                              <w:t>2007</w:t>
                            </w:r>
                            <w:r>
                              <w:rPr>
                                <w:rFonts w:hint="eastAsia" w:ascii="宋体" w:hAnsi="宋体"/>
                                <w:sz w:val="18"/>
                                <w:szCs w:val="18"/>
                              </w:rPr>
                              <w:t>〕</w:t>
                            </w:r>
                            <w:r>
                              <w:rPr>
                                <w:rFonts w:ascii="宋体" w:hAnsi="宋体"/>
                                <w:sz w:val="18"/>
                                <w:szCs w:val="18"/>
                              </w:rPr>
                              <w:t>2367</w:t>
                            </w:r>
                            <w:r>
                              <w:rPr>
                                <w:rFonts w:hint="eastAsia" w:ascii="宋体" w:hAnsi="宋体"/>
                                <w:sz w:val="18"/>
                                <w:szCs w:val="18"/>
                              </w:rPr>
                              <w:t>号）、《关于土地前期成本实行收支两条线管理有关事项的通知》（京国土财〔</w:t>
                            </w:r>
                            <w:r>
                              <w:rPr>
                                <w:rFonts w:ascii="宋体" w:hAnsi="宋体"/>
                                <w:sz w:val="18"/>
                                <w:szCs w:val="18"/>
                              </w:rPr>
                              <w:t>2011</w:t>
                            </w:r>
                            <w:r>
                              <w:rPr>
                                <w:rFonts w:hint="eastAsia" w:ascii="宋体" w:hAnsi="宋体"/>
                                <w:sz w:val="18"/>
                                <w:szCs w:val="18"/>
                              </w:rPr>
                              <w:t>〕</w:t>
                            </w:r>
                            <w:r>
                              <w:rPr>
                                <w:rFonts w:ascii="宋体" w:hAnsi="宋体"/>
                                <w:sz w:val="18"/>
                                <w:szCs w:val="18"/>
                              </w:rPr>
                              <w:t>433</w:t>
                            </w:r>
                            <w:r>
                              <w:rPr>
                                <w:rFonts w:hint="eastAsia" w:ascii="宋体" w:hAnsi="宋体"/>
                                <w:sz w:val="18"/>
                                <w:szCs w:val="18"/>
                              </w:rPr>
                              <w:t>号）、《北京市土地储备项目竣工财务决算管理暂行办法》（京财经二〔</w:t>
                            </w:r>
                            <w:r>
                              <w:rPr>
                                <w:rFonts w:ascii="宋体" w:hAnsi="宋体"/>
                                <w:sz w:val="18"/>
                                <w:szCs w:val="18"/>
                              </w:rPr>
                              <w:t>2012</w:t>
                            </w:r>
                            <w:r>
                              <w:rPr>
                                <w:rFonts w:hint="eastAsia" w:ascii="宋体" w:hAnsi="宋体"/>
                                <w:sz w:val="18"/>
                                <w:szCs w:val="18"/>
                              </w:rPr>
                              <w:t>〕</w:t>
                            </w:r>
                            <w:r>
                              <w:rPr>
                                <w:rFonts w:ascii="宋体" w:hAnsi="宋体"/>
                                <w:sz w:val="18"/>
                                <w:szCs w:val="18"/>
                              </w:rPr>
                              <w:t>2686</w:t>
                            </w:r>
                            <w:r>
                              <w:rPr>
                                <w:rFonts w:hint="eastAsia" w:ascii="宋体" w:hAnsi="宋体"/>
                                <w:sz w:val="18"/>
                                <w:szCs w:val="18"/>
                              </w:rPr>
                              <w:t>号）、《关于印发本区土地储备资金管理办法的通知》（海政办发〔</w:t>
                            </w:r>
                            <w:r>
                              <w:rPr>
                                <w:rFonts w:ascii="宋体" w:hAnsi="宋体"/>
                                <w:sz w:val="18"/>
                                <w:szCs w:val="18"/>
                              </w:rPr>
                              <w:t>2013</w:t>
                            </w:r>
                            <w:r>
                              <w:rPr>
                                <w:rFonts w:hint="eastAsia" w:ascii="宋体" w:hAnsi="宋体"/>
                                <w:sz w:val="18"/>
                                <w:szCs w:val="18"/>
                              </w:rPr>
                              <w:t>〕</w:t>
                            </w:r>
                            <w:r>
                              <w:rPr>
                                <w:rFonts w:ascii="宋体" w:hAnsi="宋体"/>
                                <w:sz w:val="18"/>
                                <w:szCs w:val="18"/>
                              </w:rPr>
                              <w:t>79</w:t>
                            </w:r>
                            <w:r>
                              <w:rPr>
                                <w:rFonts w:hint="eastAsia" w:ascii="宋体" w:hAnsi="宋体"/>
                                <w:sz w:val="18"/>
                                <w:szCs w:val="18"/>
                              </w:rPr>
                              <w:t>号）有关规定执行</w:t>
                            </w:r>
                          </w:p>
                          <w:p>
                            <w:pPr>
                              <w:jc w:val="center"/>
                              <w:rPr>
                                <w:sz w:val="18"/>
                                <w:szCs w:val="1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5pt;margin-top:16.15pt;height:69pt;width:414pt;z-index:251665408;mso-width-relative:page;mso-height-relative:page;" coordsize="21600,21600" o:gfxdata="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5lnAjdUAAAAI&#10;AQAADwAAAAAAAAABACAAAAAiAAAAZHJzL2Rvd25yZXYueG1sUEsBAhQAFAAAAAgAh07iQJACFr0f&#10;AgAAPAQAAA4AAAAAAAAAAQAgAAAAJAEAAGRycy9lMm9Eb2MueG1sUEsFBgAAAAAGAAYAWQEAALUF&#10;AAAAAA==&#10;">
                <v:path/>
                <v:fill focussize="0,0"/>
                <v:stroke/>
                <v:imagedata o:title=""/>
                <o:lock v:ext="edit"/>
                <v:textbox>
                  <w:txbxContent>
                    <w:p>
                      <w:pPr>
                        <w:jc w:val="center"/>
                        <w:rPr>
                          <w:rFonts w:ascii="宋体"/>
                          <w:sz w:val="18"/>
                          <w:szCs w:val="18"/>
                        </w:rPr>
                      </w:pPr>
                      <w:r>
                        <w:rPr>
                          <w:rFonts w:hint="eastAsia" w:ascii="宋体" w:hAnsi="宋体"/>
                          <w:sz w:val="18"/>
                          <w:szCs w:val="18"/>
                        </w:rPr>
                        <w:t>项目竣工财务决算由项目主体、区国土分局、区财政局等部门依据《北京市土地储备资金财务管理暂行办法》（京财经二〔</w:t>
                      </w:r>
                      <w:r>
                        <w:rPr>
                          <w:rFonts w:ascii="宋体" w:hAnsi="宋体"/>
                          <w:sz w:val="18"/>
                          <w:szCs w:val="18"/>
                        </w:rPr>
                        <w:t>2007</w:t>
                      </w:r>
                      <w:r>
                        <w:rPr>
                          <w:rFonts w:hint="eastAsia" w:ascii="宋体" w:hAnsi="宋体"/>
                          <w:sz w:val="18"/>
                          <w:szCs w:val="18"/>
                        </w:rPr>
                        <w:t>〕</w:t>
                      </w:r>
                      <w:r>
                        <w:rPr>
                          <w:rFonts w:ascii="宋体" w:hAnsi="宋体"/>
                          <w:sz w:val="18"/>
                          <w:szCs w:val="18"/>
                        </w:rPr>
                        <w:t>2367</w:t>
                      </w:r>
                      <w:r>
                        <w:rPr>
                          <w:rFonts w:hint="eastAsia" w:ascii="宋体" w:hAnsi="宋体"/>
                          <w:sz w:val="18"/>
                          <w:szCs w:val="18"/>
                        </w:rPr>
                        <w:t>号）、《关于土地前期成本实行收支两条线管理有关事项的通知》（京国土财〔</w:t>
                      </w:r>
                      <w:r>
                        <w:rPr>
                          <w:rFonts w:ascii="宋体" w:hAnsi="宋体"/>
                          <w:sz w:val="18"/>
                          <w:szCs w:val="18"/>
                        </w:rPr>
                        <w:t>2011</w:t>
                      </w:r>
                      <w:r>
                        <w:rPr>
                          <w:rFonts w:hint="eastAsia" w:ascii="宋体" w:hAnsi="宋体"/>
                          <w:sz w:val="18"/>
                          <w:szCs w:val="18"/>
                        </w:rPr>
                        <w:t>〕</w:t>
                      </w:r>
                      <w:r>
                        <w:rPr>
                          <w:rFonts w:ascii="宋体" w:hAnsi="宋体"/>
                          <w:sz w:val="18"/>
                          <w:szCs w:val="18"/>
                        </w:rPr>
                        <w:t>433</w:t>
                      </w:r>
                      <w:r>
                        <w:rPr>
                          <w:rFonts w:hint="eastAsia" w:ascii="宋体" w:hAnsi="宋体"/>
                          <w:sz w:val="18"/>
                          <w:szCs w:val="18"/>
                        </w:rPr>
                        <w:t>号）、《北京市土地储备项目竣工财务决算管理暂行办法》（京财经二〔</w:t>
                      </w:r>
                      <w:r>
                        <w:rPr>
                          <w:rFonts w:ascii="宋体" w:hAnsi="宋体"/>
                          <w:sz w:val="18"/>
                          <w:szCs w:val="18"/>
                        </w:rPr>
                        <w:t>2012</w:t>
                      </w:r>
                      <w:r>
                        <w:rPr>
                          <w:rFonts w:hint="eastAsia" w:ascii="宋体" w:hAnsi="宋体"/>
                          <w:sz w:val="18"/>
                          <w:szCs w:val="18"/>
                        </w:rPr>
                        <w:t>〕</w:t>
                      </w:r>
                      <w:r>
                        <w:rPr>
                          <w:rFonts w:ascii="宋体" w:hAnsi="宋体"/>
                          <w:sz w:val="18"/>
                          <w:szCs w:val="18"/>
                        </w:rPr>
                        <w:t>2686</w:t>
                      </w:r>
                      <w:r>
                        <w:rPr>
                          <w:rFonts w:hint="eastAsia" w:ascii="宋体" w:hAnsi="宋体"/>
                          <w:sz w:val="18"/>
                          <w:szCs w:val="18"/>
                        </w:rPr>
                        <w:t>号）、《关于印发本区土地储备资金管理办法的通知》（海政办发〔</w:t>
                      </w:r>
                      <w:r>
                        <w:rPr>
                          <w:rFonts w:ascii="宋体" w:hAnsi="宋体"/>
                          <w:sz w:val="18"/>
                          <w:szCs w:val="18"/>
                        </w:rPr>
                        <w:t>2013</w:t>
                      </w:r>
                      <w:r>
                        <w:rPr>
                          <w:rFonts w:hint="eastAsia" w:ascii="宋体" w:hAnsi="宋体"/>
                          <w:sz w:val="18"/>
                          <w:szCs w:val="18"/>
                        </w:rPr>
                        <w:t>〕</w:t>
                      </w:r>
                      <w:r>
                        <w:rPr>
                          <w:rFonts w:ascii="宋体" w:hAnsi="宋体"/>
                          <w:sz w:val="18"/>
                          <w:szCs w:val="18"/>
                        </w:rPr>
                        <w:t>79</w:t>
                      </w:r>
                      <w:r>
                        <w:rPr>
                          <w:rFonts w:hint="eastAsia" w:ascii="宋体" w:hAnsi="宋体"/>
                          <w:sz w:val="18"/>
                          <w:szCs w:val="18"/>
                        </w:rPr>
                        <w:t>号）有关规定执行</w:t>
                      </w:r>
                    </w:p>
                    <w:p>
                      <w:pPr>
                        <w:jc w:val="center"/>
                        <w:rPr>
                          <w:sz w:val="18"/>
                          <w:szCs w:val="18"/>
                        </w:rPr>
                      </w:pPr>
                    </w:p>
                  </w:txbxContent>
                </v:textbox>
              </v:rect>
            </w:pict>
          </mc:Fallback>
        </mc:AlternateConten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AC5B87"/>
    <w:rsid w:val="21AC5B8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2017-01-21T12:21:00Z</dcterms:created>
  <dc:creator>Mmf99</dc:creator>
  <cp:lastModifiedBy>Mmf99</cp:lastModifiedBy>
  <dcterms:modified xsi:type="dcterms:W3CDTF">2017-01-21T12:22:12Z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