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s="宋体"/>
          <w:kern w:val="0"/>
          <w:szCs w:val="32"/>
        </w:rPr>
      </w:pPr>
      <w:r>
        <w:rPr>
          <w:rFonts w:hint="eastAsia" w:ascii="黑体" w:eastAsia="黑体" w:cs="宋体"/>
          <w:kern w:val="0"/>
          <w:szCs w:val="32"/>
        </w:rPr>
        <w:t>附件1</w:t>
      </w:r>
    </w:p>
    <w:p>
      <w:pPr>
        <w:spacing w:line="560" w:lineRule="exact"/>
        <w:rPr>
          <w:rFonts w:hint="eastAsia" w:ascii="仿宋_GB2312" w:cs="宋体"/>
          <w:kern w:val="0"/>
          <w:szCs w:val="32"/>
        </w:rPr>
      </w:pPr>
    </w:p>
    <w:p>
      <w:pPr>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延庆县决定取消的行政审批项目目录</w:t>
      </w:r>
    </w:p>
    <w:p>
      <w:pPr>
        <w:spacing w:line="560" w:lineRule="exact"/>
        <w:jc w:val="center"/>
        <w:rPr>
          <w:rFonts w:hint="eastAsia" w:ascii="楷体_GB2312" w:eastAsia="楷体_GB2312" w:cs="宋体"/>
          <w:kern w:val="0"/>
          <w:szCs w:val="32"/>
        </w:rPr>
      </w:pPr>
      <w:r>
        <w:rPr>
          <w:rFonts w:hint="eastAsia" w:ascii="楷体_GB2312" w:eastAsia="楷体_GB2312" w:cs="宋体"/>
          <w:kern w:val="0"/>
          <w:szCs w:val="32"/>
        </w:rPr>
        <w:t>（共计6项）</w:t>
      </w:r>
    </w:p>
    <w:p>
      <w:pPr>
        <w:spacing w:line="560" w:lineRule="exact"/>
        <w:jc w:val="center"/>
        <w:rPr>
          <w:rFonts w:hint="eastAsia" w:ascii="楷体_GB2312" w:eastAsia="楷体_GB2312" w:cs="宋体"/>
          <w:kern w:val="0"/>
          <w:szCs w:val="32"/>
        </w:rPr>
      </w:pPr>
    </w:p>
    <w:tbl>
      <w:tblPr>
        <w:tblStyle w:val="3"/>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340"/>
        <w:gridCol w:w="1834"/>
        <w:gridCol w:w="295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96" w:type="dxa"/>
            <w:shd w:val="clear" w:color="auto" w:fill="auto"/>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序号</w:t>
            </w:r>
          </w:p>
        </w:tc>
        <w:tc>
          <w:tcPr>
            <w:tcW w:w="2340" w:type="dxa"/>
            <w:shd w:val="clear" w:color="auto" w:fill="auto"/>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项目名称</w:t>
            </w:r>
          </w:p>
        </w:tc>
        <w:tc>
          <w:tcPr>
            <w:tcW w:w="1834" w:type="dxa"/>
            <w:shd w:val="clear" w:color="auto" w:fill="auto"/>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原实施单位</w:t>
            </w:r>
          </w:p>
        </w:tc>
        <w:tc>
          <w:tcPr>
            <w:tcW w:w="2955" w:type="dxa"/>
            <w:shd w:val="clear" w:color="auto" w:fill="auto"/>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设定依据</w:t>
            </w:r>
          </w:p>
        </w:tc>
        <w:tc>
          <w:tcPr>
            <w:tcW w:w="915" w:type="dxa"/>
            <w:shd w:val="clear" w:color="auto" w:fill="auto"/>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1</w:t>
            </w:r>
          </w:p>
        </w:tc>
        <w:tc>
          <w:tcPr>
            <w:tcW w:w="2340"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年度投资计划办理</w:t>
            </w:r>
          </w:p>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（年度投资计划）</w:t>
            </w:r>
          </w:p>
        </w:tc>
        <w:tc>
          <w:tcPr>
            <w:tcW w:w="1834"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县发展改革委</w:t>
            </w:r>
          </w:p>
        </w:tc>
        <w:tc>
          <w:tcPr>
            <w:tcW w:w="2955"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《北京市人民政府关于优化完善本市固定资产投资项目办理流程及相关工作机制的通知》（京政发〔2011〕34号）</w:t>
            </w:r>
          </w:p>
        </w:tc>
        <w:tc>
          <w:tcPr>
            <w:tcW w:w="915" w:type="dxa"/>
            <w:shd w:val="clear" w:color="auto" w:fill="auto"/>
            <w:vAlign w:val="center"/>
          </w:tcPr>
          <w:p>
            <w:pPr>
              <w:widowControl/>
              <w:spacing w:line="240" w:lineRule="exact"/>
              <w:jc w:val="left"/>
              <w:rPr>
                <w:rFonts w:hint="eastAsia"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2</w:t>
            </w:r>
          </w:p>
        </w:tc>
        <w:tc>
          <w:tcPr>
            <w:tcW w:w="2340"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江河故道、旧堤、原有工程设施等填堵、占用、拆毁审批</w:t>
            </w:r>
          </w:p>
        </w:tc>
        <w:tc>
          <w:tcPr>
            <w:tcW w:w="1834"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县水务局</w:t>
            </w:r>
          </w:p>
        </w:tc>
        <w:tc>
          <w:tcPr>
            <w:tcW w:w="2955"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《中华人民共和国河道管理条例》（国务院令第3号）</w:t>
            </w:r>
          </w:p>
        </w:tc>
        <w:tc>
          <w:tcPr>
            <w:tcW w:w="915" w:type="dxa"/>
            <w:shd w:val="clear" w:color="auto" w:fill="auto"/>
            <w:vAlign w:val="bottom"/>
          </w:tcPr>
          <w:p>
            <w:pPr>
              <w:widowControl/>
              <w:spacing w:line="240" w:lineRule="exact"/>
              <w:jc w:val="left"/>
              <w:rPr>
                <w:rFonts w:hint="eastAsia"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3</w:t>
            </w:r>
          </w:p>
        </w:tc>
        <w:tc>
          <w:tcPr>
            <w:tcW w:w="2340"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外商投资企业财政登记</w:t>
            </w:r>
          </w:p>
        </w:tc>
        <w:tc>
          <w:tcPr>
            <w:tcW w:w="1834"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县财政局</w:t>
            </w:r>
          </w:p>
        </w:tc>
        <w:tc>
          <w:tcPr>
            <w:tcW w:w="2955"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《外商投资企业财政登记管理办法》（财工字〔1996〕第126号）</w:t>
            </w:r>
          </w:p>
        </w:tc>
        <w:tc>
          <w:tcPr>
            <w:tcW w:w="915" w:type="dxa"/>
            <w:shd w:val="clear" w:color="auto" w:fill="auto"/>
            <w:vAlign w:val="center"/>
          </w:tcPr>
          <w:p>
            <w:pPr>
              <w:widowControl/>
              <w:spacing w:line="240" w:lineRule="exact"/>
              <w:jc w:val="left"/>
              <w:rPr>
                <w:rFonts w:hint="eastAsia" w:ascii="仿宋_GB2312"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4</w:t>
            </w:r>
          </w:p>
        </w:tc>
        <w:tc>
          <w:tcPr>
            <w:tcW w:w="2340"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动物健康免疫证核发</w:t>
            </w:r>
          </w:p>
        </w:tc>
        <w:tc>
          <w:tcPr>
            <w:tcW w:w="1834"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县农业局</w:t>
            </w:r>
          </w:p>
        </w:tc>
        <w:tc>
          <w:tcPr>
            <w:tcW w:w="2955" w:type="dxa"/>
            <w:shd w:val="clear" w:color="auto" w:fill="auto"/>
            <w:vAlign w:val="center"/>
          </w:tcPr>
          <w:p>
            <w:pPr>
              <w:widowControl/>
              <w:spacing w:line="240" w:lineRule="exact"/>
              <w:rPr>
                <w:rFonts w:hint="eastAsia" w:ascii="仿宋_GB2312" w:hAnsi="宋体" w:cs="宋体"/>
                <w:color w:val="000000"/>
                <w:kern w:val="0"/>
                <w:sz w:val="21"/>
                <w:szCs w:val="21"/>
              </w:rPr>
            </w:pPr>
            <w:r>
              <w:rPr>
                <w:rFonts w:hint="eastAsia" w:ascii="仿宋_GB2312" w:hAnsi="宋体" w:cs="宋体"/>
                <w:color w:val="000000"/>
                <w:kern w:val="0"/>
                <w:sz w:val="21"/>
                <w:szCs w:val="21"/>
              </w:rPr>
              <w:t>《北京市实施&lt;中华人民共和国动物防疫法&gt;办法》2005年</w:t>
            </w:r>
          </w:p>
        </w:tc>
        <w:tc>
          <w:tcPr>
            <w:tcW w:w="915" w:type="dxa"/>
            <w:shd w:val="clear" w:color="auto" w:fill="auto"/>
            <w:vAlign w:val="center"/>
          </w:tcPr>
          <w:p>
            <w:pPr>
              <w:widowControl/>
              <w:spacing w:line="240" w:lineRule="exact"/>
              <w:jc w:val="left"/>
              <w:rPr>
                <w:rFonts w:hint="eastAsia" w:ascii="仿宋_GB2312"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5</w:t>
            </w:r>
          </w:p>
        </w:tc>
        <w:tc>
          <w:tcPr>
            <w:tcW w:w="2340" w:type="dxa"/>
            <w:shd w:val="clear" w:color="auto" w:fill="auto"/>
            <w:vAlign w:val="center"/>
          </w:tcPr>
          <w:p>
            <w:pPr>
              <w:rPr>
                <w:rFonts w:hint="eastAsia" w:ascii="仿宋_GB2312" w:hAnsi="宋体" w:cs="宋体"/>
                <w:color w:val="000000"/>
                <w:kern w:val="0"/>
                <w:sz w:val="21"/>
                <w:szCs w:val="21"/>
              </w:rPr>
            </w:pPr>
            <w:r>
              <w:rPr>
                <w:rFonts w:hint="eastAsia" w:ascii="仿宋_GB2312" w:hAnsi="宋体" w:cs="宋体"/>
                <w:color w:val="000000"/>
                <w:kern w:val="0"/>
                <w:sz w:val="21"/>
                <w:szCs w:val="21"/>
              </w:rPr>
              <w:t>新能源环保产业发展</w:t>
            </w:r>
          </w:p>
          <w:p>
            <w:pPr>
              <w:rPr>
                <w:rFonts w:hint="eastAsia" w:ascii="仿宋_GB2312" w:hAnsi="宋体" w:cs="宋体"/>
                <w:color w:val="000000"/>
                <w:kern w:val="0"/>
                <w:sz w:val="21"/>
                <w:szCs w:val="21"/>
              </w:rPr>
            </w:pPr>
            <w:r>
              <w:rPr>
                <w:rFonts w:hint="eastAsia" w:ascii="仿宋_GB2312" w:hAnsi="宋体" w:cs="宋体"/>
                <w:color w:val="000000"/>
                <w:kern w:val="0"/>
                <w:sz w:val="21"/>
                <w:szCs w:val="21"/>
              </w:rPr>
              <w:t>专项资金项目初审</w:t>
            </w:r>
          </w:p>
        </w:tc>
        <w:tc>
          <w:tcPr>
            <w:tcW w:w="1834" w:type="dxa"/>
            <w:shd w:val="clear" w:color="auto" w:fill="auto"/>
            <w:vAlign w:val="center"/>
          </w:tcPr>
          <w:p>
            <w:pPr>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县经济信息化委</w:t>
            </w:r>
          </w:p>
        </w:tc>
        <w:tc>
          <w:tcPr>
            <w:tcW w:w="2955" w:type="dxa"/>
            <w:shd w:val="clear" w:color="auto" w:fill="auto"/>
            <w:vAlign w:val="center"/>
          </w:tcPr>
          <w:p>
            <w:pPr>
              <w:rPr>
                <w:rFonts w:hint="eastAsia" w:ascii="仿宋_GB2312" w:hAnsi="宋体" w:cs="宋体"/>
                <w:color w:val="000000"/>
                <w:kern w:val="0"/>
                <w:sz w:val="21"/>
                <w:szCs w:val="21"/>
              </w:rPr>
            </w:pPr>
            <w:r>
              <w:rPr>
                <w:rFonts w:hint="eastAsia" w:ascii="仿宋_GB2312" w:hAnsi="宋体" w:cs="宋体"/>
                <w:color w:val="000000"/>
                <w:kern w:val="0"/>
                <w:sz w:val="21"/>
                <w:szCs w:val="21"/>
              </w:rPr>
              <w:t>《延庆县人民政府办公室关于印发新能源环保产业发展专项资金管理办法（试行）》（延政办发〔2013〕29号）</w:t>
            </w:r>
          </w:p>
        </w:tc>
        <w:tc>
          <w:tcPr>
            <w:tcW w:w="915" w:type="dxa"/>
            <w:shd w:val="clear" w:color="auto" w:fill="auto"/>
            <w:vAlign w:val="center"/>
          </w:tcPr>
          <w:p>
            <w:pPr>
              <w:widowControl/>
              <w:spacing w:line="240" w:lineRule="exact"/>
              <w:jc w:val="left"/>
              <w:rPr>
                <w:rFonts w:hint="eastAsia"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596" w:type="dxa"/>
            <w:shd w:val="clear" w:color="auto" w:fill="auto"/>
            <w:vAlign w:val="center"/>
          </w:tcPr>
          <w:p>
            <w:pPr>
              <w:widowControl/>
              <w:spacing w:line="240" w:lineRule="exact"/>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6</w:t>
            </w:r>
          </w:p>
        </w:tc>
        <w:tc>
          <w:tcPr>
            <w:tcW w:w="2340" w:type="dxa"/>
            <w:shd w:val="clear" w:color="auto" w:fill="auto"/>
            <w:vAlign w:val="center"/>
          </w:tcPr>
          <w:p>
            <w:pPr>
              <w:rPr>
                <w:rFonts w:hint="eastAsia" w:ascii="仿宋_GB2312" w:hAnsi="宋体" w:cs="宋体"/>
                <w:color w:val="000000"/>
                <w:kern w:val="0"/>
                <w:sz w:val="21"/>
                <w:szCs w:val="21"/>
              </w:rPr>
            </w:pPr>
            <w:r>
              <w:rPr>
                <w:rFonts w:hint="eastAsia" w:ascii="仿宋_GB2312" w:hAnsi="宋体" w:cs="宋体"/>
                <w:color w:val="000000"/>
                <w:kern w:val="0"/>
                <w:sz w:val="21"/>
                <w:szCs w:val="21"/>
              </w:rPr>
              <w:t>质量管理体系、环境管理体系认证的企业奖励资金申请审查</w:t>
            </w:r>
          </w:p>
        </w:tc>
        <w:tc>
          <w:tcPr>
            <w:tcW w:w="1834" w:type="dxa"/>
            <w:shd w:val="clear" w:color="auto" w:fill="auto"/>
            <w:vAlign w:val="center"/>
          </w:tcPr>
          <w:p>
            <w:pPr>
              <w:jc w:val="center"/>
              <w:rPr>
                <w:rFonts w:hint="eastAsia" w:ascii="仿宋_GB2312" w:hAnsi="宋体" w:cs="宋体"/>
                <w:color w:val="000000"/>
                <w:kern w:val="0"/>
                <w:sz w:val="21"/>
                <w:szCs w:val="21"/>
              </w:rPr>
            </w:pPr>
            <w:r>
              <w:rPr>
                <w:rFonts w:hint="eastAsia" w:ascii="仿宋_GB2312" w:hAnsi="宋体" w:cs="宋体"/>
                <w:color w:val="000000"/>
                <w:kern w:val="0"/>
                <w:sz w:val="21"/>
                <w:szCs w:val="21"/>
              </w:rPr>
              <w:t>县经济信息化委</w:t>
            </w:r>
          </w:p>
        </w:tc>
        <w:tc>
          <w:tcPr>
            <w:tcW w:w="2955" w:type="dxa"/>
            <w:shd w:val="clear" w:color="auto" w:fill="auto"/>
            <w:vAlign w:val="center"/>
          </w:tcPr>
          <w:p>
            <w:pPr>
              <w:rPr>
                <w:rFonts w:hint="eastAsia" w:ascii="仿宋_GB2312" w:hAnsi="宋体" w:cs="宋体"/>
                <w:color w:val="000000"/>
                <w:kern w:val="0"/>
                <w:sz w:val="21"/>
                <w:szCs w:val="21"/>
              </w:rPr>
            </w:pPr>
            <w:r>
              <w:rPr>
                <w:rFonts w:hint="eastAsia" w:ascii="仿宋_GB2312" w:hAnsi="宋体" w:cs="宋体"/>
                <w:color w:val="000000"/>
                <w:kern w:val="0"/>
                <w:sz w:val="21"/>
                <w:szCs w:val="21"/>
              </w:rPr>
              <w:t>《延庆县人民政府关于对获得质量管理体系、环境管理体系认证的企业进行奖励的决定》（延政发〔2006〕32号）</w:t>
            </w:r>
          </w:p>
        </w:tc>
        <w:tc>
          <w:tcPr>
            <w:tcW w:w="915" w:type="dxa"/>
            <w:shd w:val="clear" w:color="auto" w:fill="auto"/>
            <w:vAlign w:val="center"/>
          </w:tcPr>
          <w:p>
            <w:pPr>
              <w:widowControl/>
              <w:spacing w:line="240" w:lineRule="exact"/>
              <w:jc w:val="left"/>
              <w:rPr>
                <w:rFonts w:hint="eastAsia" w:ascii="仿宋_GB2312" w:hAnsi="宋体"/>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C5079"/>
    <w:rsid w:val="04AC50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2017-01-22T04:21:00Z</dcterms:created>
  <dc:creator>Mmf99</dc:creator>
  <cp:lastModifiedBy>Mmf99</cp:lastModifiedBy>
  <dcterms:modified xsi:type="dcterms:W3CDTF">2017-01-22T04:22:10Z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