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pacing w:line="340" w:lineRule="exact"/>
        <w:jc w:val="left"/>
        <w:rPr>
          <w:rFonts w:hint="eastAsia" w:ascii="黑体" w:hAnsi="黑体" w:eastAsia="黑体"/>
        </w:rPr>
      </w:pPr>
    </w:p>
    <w:p>
      <w:pPr>
        <w:overflowPunct w:val="0"/>
        <w:topLinePunct/>
        <w:spacing w:line="540" w:lineRule="exact"/>
        <w:jc w:val="center"/>
        <w:rPr>
          <w:rFonts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密云县</w:t>
      </w:r>
      <w:r>
        <w:rPr>
          <w:rFonts w:hint="eastAsia" w:ascii="方正小标宋_GBK" w:eastAsia="方正小标宋_GBK"/>
          <w:sz w:val="44"/>
          <w:szCs w:val="44"/>
        </w:rPr>
        <w:t>“小饭桌”问题专项治理</w:t>
      </w:r>
      <w:r>
        <w:rPr>
          <w:rFonts w:hint="eastAsia" w:ascii="方正小标宋_GBK" w:hAnsi="仿宋" w:eastAsia="方正小标宋_GBK"/>
          <w:sz w:val="44"/>
          <w:szCs w:val="44"/>
        </w:rPr>
        <w:t>工作方案</w:t>
      </w:r>
    </w:p>
    <w:p>
      <w:pPr>
        <w:overflowPunct w:val="0"/>
        <w:topLinePunct/>
        <w:spacing w:line="460" w:lineRule="exact"/>
        <w:ind w:firstLine="646"/>
        <w:rPr>
          <w:rFonts w:ascii="黑体" w:hAnsi="黑体" w:eastAsia="黑体"/>
        </w:rPr>
      </w:pPr>
    </w:p>
    <w:p>
      <w:pPr>
        <w:overflowPunct w:val="0"/>
        <w:topLinePunct/>
        <w:spacing w:line="540" w:lineRule="exact"/>
        <w:rPr>
          <w:rFonts w:ascii="黑体" w:hAnsi="黑体" w:eastAsia="黑体"/>
        </w:rPr>
      </w:pPr>
      <w:r>
        <w:rPr>
          <w:rFonts w:hint="eastAsia"/>
        </w:rPr>
        <w:t xml:space="preserve">    </w:t>
      </w:r>
      <w:r>
        <w:rPr>
          <w:rFonts w:hint="eastAsia" w:ascii="黑体" w:hAnsi="黑体" w:eastAsia="黑体"/>
        </w:rPr>
        <w:t>一、指导思想</w:t>
      </w:r>
    </w:p>
    <w:p>
      <w:pPr>
        <w:overflowPunct w:val="0"/>
        <w:topLinePunct/>
        <w:spacing w:line="520" w:lineRule="exact"/>
      </w:pPr>
      <w:r>
        <w:rPr>
          <w:rFonts w:hint="eastAsia"/>
        </w:rPr>
        <w:t xml:space="preserve">    全面贯彻落实县政府关于教育安全突出问题治理工作的部署，坚持集中整治与规范管理相结合的原则，进一步加强“小饭桌”安全监管工作，突出重点、注重实效，全面治理“小饭桌”问题，消除安全隐患，保障中小学生饮食安全。</w:t>
      </w:r>
    </w:p>
    <w:p>
      <w:pPr>
        <w:overflowPunct w:val="0"/>
        <w:topLinePunct/>
        <w:spacing w:line="52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 xml:space="preserve">    </w:t>
      </w:r>
      <w:r>
        <w:rPr>
          <w:rFonts w:hint="eastAsia" w:ascii="黑体" w:hAnsi="黑体" w:eastAsia="黑体" w:cs="宋体"/>
        </w:rPr>
        <w:t>二、主要任务</w:t>
      </w:r>
    </w:p>
    <w:p>
      <w:pPr>
        <w:overflowPunct w:val="0"/>
        <w:topLinePunct/>
        <w:spacing w:line="520" w:lineRule="exact"/>
        <w:ind w:firstLine="645"/>
      </w:pPr>
      <w:r>
        <w:rPr>
          <w:rFonts w:hint="eastAsia"/>
        </w:rPr>
        <w:t>摸清全县“小饭桌”基本状况，初步建立监管档案；开展集中治理整顿，达标的给予备案，关停不符合安全规定的“小饭桌”，保证学生饮食安全，维护正常教育教学秩序。</w:t>
      </w:r>
    </w:p>
    <w:p>
      <w:pPr>
        <w:overflowPunct w:val="0"/>
        <w:topLinePunct/>
        <w:spacing w:line="520" w:lineRule="exact"/>
        <w:ind w:firstLine="645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三、组织领导</w:t>
      </w:r>
    </w:p>
    <w:p>
      <w:pPr>
        <w:overflowPunct w:val="0"/>
        <w:topLinePunct/>
        <w:spacing w:line="520" w:lineRule="exact"/>
        <w:ind w:firstLine="630"/>
      </w:pPr>
      <w:r>
        <w:rPr>
          <w:rFonts w:hint="eastAsia"/>
        </w:rPr>
        <w:t>“小饭桌”问题专项治理由县食药局牵头。成员单位包括：县教委、住建委、卫生局、公安局、工商分局、政府教育督导室、密云镇、鼓楼街道、果园街道、檀营地区办事处。</w:t>
      </w:r>
    </w:p>
    <w:p>
      <w:pPr>
        <w:overflowPunct w:val="0"/>
        <w:topLinePunct/>
        <w:spacing w:line="520" w:lineRule="exact"/>
        <w:ind w:firstLine="63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四、职责分工</w:t>
      </w:r>
    </w:p>
    <w:p>
      <w:pPr>
        <w:overflowPunct w:val="0"/>
        <w:topLinePunct/>
        <w:spacing w:line="520" w:lineRule="exact"/>
        <w:ind w:firstLine="630"/>
        <w:rPr>
          <w:rFonts w:hint="eastAsia" w:hAnsi="仿宋"/>
        </w:rPr>
      </w:pPr>
      <w:r>
        <w:rPr>
          <w:rFonts w:hint="eastAsia" w:ascii="楷体_GB2312" w:hAnsi="黑体" w:eastAsia="楷体_GB2312"/>
        </w:rPr>
        <w:t>县食药局：</w:t>
      </w:r>
      <w:r>
        <w:rPr>
          <w:rFonts w:hint="eastAsia"/>
        </w:rPr>
        <w:t>“小饭桌”问题治理工作牵头单位，负责全面统筹协调，组织县教委、住建委、卫生局、工商分局、公安局、镇街（地区）等部门定期开展联合执法，统筹安排各镇街（地区）食药所配合执法行动，集中治理整顿，依法取缔、关停不符合安全规定的</w:t>
      </w:r>
      <w:r>
        <w:rPr>
          <w:rFonts w:hint="eastAsia" w:hAnsi="仿宋"/>
        </w:rPr>
        <w:t>“小饭桌”。</w:t>
      </w:r>
    </w:p>
    <w:p>
      <w:pPr>
        <w:overflowPunct w:val="0"/>
        <w:topLinePunct/>
        <w:spacing w:line="520" w:lineRule="exact"/>
        <w:ind w:firstLine="630"/>
        <w:rPr>
          <w:rFonts w:hAnsi="黑体"/>
        </w:rPr>
      </w:pPr>
      <w:r>
        <w:rPr>
          <w:rFonts w:hint="eastAsia" w:ascii="楷体_GB2312" w:hAnsi="黑体" w:eastAsia="楷体_GB2312"/>
        </w:rPr>
        <w:t>县教委：</w:t>
      </w:r>
      <w:r>
        <w:rPr>
          <w:rFonts w:hint="eastAsia" w:hAnsi="黑体"/>
        </w:rPr>
        <w:t>负责加强学生安全教育，提高学生安全意识；</w:t>
      </w:r>
      <w:r>
        <w:rPr>
          <w:rFonts w:hint="eastAsia"/>
        </w:rPr>
        <w:t>会同有关部门研究制定营养配餐工作方案，解决学生就餐问题。</w:t>
      </w:r>
    </w:p>
    <w:p>
      <w:pPr>
        <w:overflowPunct w:val="0"/>
        <w:topLinePunct/>
        <w:spacing w:line="500" w:lineRule="exact"/>
        <w:ind w:firstLine="630"/>
        <w:rPr>
          <w:rFonts w:ascii="黑体" w:hAnsi="黑体" w:eastAsia="黑体"/>
        </w:rPr>
      </w:pPr>
      <w:r>
        <w:rPr>
          <w:rFonts w:hint="eastAsia" w:ascii="楷体_GB2312" w:hAnsi="黑体" w:eastAsia="楷体_GB2312"/>
        </w:rPr>
        <w:t>县住建委：</w:t>
      </w:r>
      <w:r>
        <w:rPr>
          <w:rFonts w:hint="eastAsia" w:hAnsi="黑体"/>
        </w:rPr>
        <w:t>负责</w:t>
      </w:r>
      <w:r>
        <w:rPr>
          <w:rFonts w:hint="eastAsia" w:hAnsi="仿宋"/>
        </w:rPr>
        <w:t>审查</w:t>
      </w:r>
      <w:r>
        <w:rPr>
          <w:rFonts w:hint="eastAsia" w:hAnsi="黑体"/>
        </w:rPr>
        <w:t>开办</w:t>
      </w:r>
      <w:r>
        <w:rPr>
          <w:rFonts w:hint="eastAsia" w:hAnsi="仿宋"/>
        </w:rPr>
        <w:t>“小饭桌”场所房屋结构安全状况，从法律层面提出治理建议。</w:t>
      </w:r>
    </w:p>
    <w:p>
      <w:pPr>
        <w:overflowPunct w:val="0"/>
        <w:topLinePunct/>
        <w:spacing w:line="500" w:lineRule="exact"/>
        <w:ind w:firstLine="630"/>
        <w:rPr>
          <w:rFonts w:ascii="黑体" w:hAnsi="黑体" w:eastAsia="黑体"/>
        </w:rPr>
      </w:pPr>
      <w:r>
        <w:rPr>
          <w:rFonts w:hint="eastAsia" w:ascii="楷体_GB2312" w:hAnsi="黑体" w:eastAsia="楷体_GB2312"/>
        </w:rPr>
        <w:t>县卫生局：</w:t>
      </w:r>
      <w:r>
        <w:rPr>
          <w:rFonts w:hint="eastAsia" w:hAnsi="黑体"/>
        </w:rPr>
        <w:t>负责</w:t>
      </w:r>
      <w:r>
        <w:rPr>
          <w:rFonts w:hint="eastAsia" w:hAnsi="仿宋"/>
        </w:rPr>
        <w:t>审查</w:t>
      </w:r>
      <w:r>
        <w:rPr>
          <w:rFonts w:hint="eastAsia" w:hAnsi="黑体"/>
        </w:rPr>
        <w:t>开办</w:t>
      </w:r>
      <w:r>
        <w:rPr>
          <w:rFonts w:hint="eastAsia" w:hAnsi="仿宋"/>
        </w:rPr>
        <w:t>“小饭桌”场所卫生条件的合法性，从法律层面提出治理建议。</w:t>
      </w:r>
    </w:p>
    <w:p>
      <w:pPr>
        <w:overflowPunct w:val="0"/>
        <w:topLinePunct/>
        <w:spacing w:line="500" w:lineRule="exact"/>
        <w:ind w:firstLine="630"/>
      </w:pPr>
      <w:r>
        <w:rPr>
          <w:rFonts w:hint="eastAsia" w:ascii="楷体_GB2312" w:hAnsi="黑体" w:eastAsia="楷体_GB2312"/>
        </w:rPr>
        <w:t>县公安局：</w:t>
      </w:r>
      <w:r>
        <w:rPr>
          <w:rFonts w:hint="eastAsia" w:hAnsi="黑体"/>
        </w:rPr>
        <w:t>负责</w:t>
      </w:r>
      <w:r>
        <w:rPr>
          <w:rFonts w:hint="eastAsia" w:hAnsi="仿宋"/>
        </w:rPr>
        <w:t>审查</w:t>
      </w:r>
      <w:r>
        <w:rPr>
          <w:rFonts w:hint="eastAsia" w:hAnsi="黑体"/>
        </w:rPr>
        <w:t>开办</w:t>
      </w:r>
      <w:r>
        <w:rPr>
          <w:rFonts w:hint="eastAsia" w:hAnsi="仿宋"/>
        </w:rPr>
        <w:t>“小饭桌”场所的安全情况，从法律层面提出治理建议。</w:t>
      </w:r>
    </w:p>
    <w:p>
      <w:pPr>
        <w:overflowPunct w:val="0"/>
        <w:topLinePunct/>
        <w:spacing w:line="500" w:lineRule="exact"/>
        <w:ind w:firstLine="630"/>
        <w:rPr>
          <w:rFonts w:hint="eastAsia" w:hAnsi="仿宋"/>
        </w:rPr>
      </w:pPr>
      <w:r>
        <w:rPr>
          <w:rFonts w:hint="eastAsia" w:ascii="楷体_GB2312" w:hAnsi="黑体" w:eastAsia="楷体_GB2312"/>
        </w:rPr>
        <w:t>县工商分局：</w:t>
      </w:r>
      <w:r>
        <w:rPr>
          <w:rFonts w:hint="eastAsia" w:hAnsi="黑体"/>
        </w:rPr>
        <w:t>负责</w:t>
      </w:r>
      <w:r>
        <w:rPr>
          <w:rFonts w:hint="eastAsia" w:hAnsi="仿宋"/>
        </w:rPr>
        <w:t>审查</w:t>
      </w:r>
      <w:r>
        <w:rPr>
          <w:rFonts w:hint="eastAsia" w:hAnsi="黑体"/>
        </w:rPr>
        <w:t>开办</w:t>
      </w:r>
      <w:r>
        <w:rPr>
          <w:rFonts w:hint="eastAsia" w:hAnsi="仿宋"/>
        </w:rPr>
        <w:t>“小饭桌”场所经营行为的合法性，从法律层面提出治理建议。</w:t>
      </w:r>
    </w:p>
    <w:p>
      <w:pPr>
        <w:overflowPunct w:val="0"/>
        <w:topLinePunct/>
        <w:spacing w:line="500" w:lineRule="exact"/>
        <w:ind w:firstLine="630"/>
        <w:rPr>
          <w:rFonts w:ascii="黑体" w:hAnsi="黑体" w:eastAsia="黑体"/>
        </w:rPr>
      </w:pPr>
      <w:r>
        <w:rPr>
          <w:rFonts w:hint="eastAsia" w:ascii="楷体_GB2312" w:hAnsi="黑体" w:eastAsia="楷体_GB2312" w:cs="宋体"/>
        </w:rPr>
        <w:t>县政府教育督导室：</w:t>
      </w:r>
      <w:r>
        <w:rPr>
          <w:rFonts w:hint="eastAsia" w:hAnsi="宋体" w:cs="宋体"/>
        </w:rPr>
        <w:t>依据职责分工，对成员单位责任落实情况、镇街（地区）组织实施情况及实际效果进行督查考核，纳入相关单位年度考核指标。</w:t>
      </w:r>
    </w:p>
    <w:p>
      <w:pPr>
        <w:overflowPunct w:val="0"/>
        <w:topLinePunct/>
        <w:spacing w:line="500" w:lineRule="exact"/>
        <w:ind w:firstLine="630"/>
      </w:pPr>
      <w:r>
        <w:rPr>
          <w:rFonts w:hint="eastAsia" w:ascii="楷体_GB2312" w:hAnsi="黑体" w:eastAsia="楷体_GB2312"/>
        </w:rPr>
        <w:t>相关镇街（地区）：</w:t>
      </w:r>
      <w:r>
        <w:rPr>
          <w:rFonts w:hint="eastAsia"/>
        </w:rPr>
        <w:t>按照“属地管理”原则，组织排查辖区内“小饭桌”情况。通过网格化管理等措施，摸清底数、建立台帐，及时发现、治理本辖区内“小饭桌”问题，并将治理情况上报“小饭桌”问题专项治理小组。</w:t>
      </w:r>
    </w:p>
    <w:p>
      <w:pPr>
        <w:overflowPunct w:val="0"/>
        <w:topLinePunct/>
        <w:spacing w:line="500" w:lineRule="exact"/>
        <w:rPr>
          <w:rFonts w:ascii="黑体" w:hAnsi="黑体" w:eastAsia="黑体" w:cs="宋体"/>
        </w:rPr>
      </w:pPr>
      <w:r>
        <w:rPr>
          <w:rFonts w:hint="eastAsia" w:hAnsi="宋体" w:cs="宋体"/>
        </w:rPr>
        <w:t xml:space="preserve">    </w:t>
      </w:r>
      <w:r>
        <w:rPr>
          <w:rFonts w:hint="eastAsia" w:ascii="黑体" w:hAnsi="黑体" w:eastAsia="黑体" w:cs="宋体"/>
        </w:rPr>
        <w:t>五、实施步骤</w:t>
      </w:r>
    </w:p>
    <w:p>
      <w:pPr>
        <w:overflowPunct w:val="0"/>
        <w:topLinePunct/>
        <w:spacing w:line="500" w:lineRule="exact"/>
        <w:ind w:firstLine="645"/>
      </w:pPr>
      <w:r>
        <w:rPr>
          <w:rFonts w:hint="eastAsia"/>
        </w:rPr>
        <w:t>（一）相关镇街（地区）组织排查“小饭桌”情况，摸清底数、建立台帐，上报县“小饭桌”问题专项治理小组。</w:t>
      </w:r>
    </w:p>
    <w:p>
      <w:pPr>
        <w:overflowPunct w:val="0"/>
        <w:topLinePunct/>
        <w:spacing w:line="500" w:lineRule="exact"/>
        <w:ind w:firstLine="646"/>
      </w:pPr>
      <w:r>
        <w:rPr>
          <w:rFonts w:hint="eastAsia"/>
        </w:rPr>
        <w:t>（二）县食药局对所掌握的“小饭桌”逐一排查，不符合行业规定、存在安全隐患的，下发关停通知书。</w:t>
      </w:r>
    </w:p>
    <w:p>
      <w:pPr>
        <w:overflowPunct w:val="0"/>
        <w:topLinePunct/>
        <w:spacing w:line="500" w:lineRule="exact"/>
        <w:ind w:firstLine="645"/>
      </w:pPr>
      <w:r>
        <w:rPr>
          <w:rFonts w:hint="eastAsia"/>
        </w:rPr>
        <w:t>（三）县食药局、卫生局、公安局、相关镇街（地区）联合执法，取缔不按要求关停的“小饭桌”。</w:t>
      </w:r>
    </w:p>
    <w:p>
      <w:pPr>
        <w:overflowPunct w:val="0"/>
        <w:topLinePunct/>
        <w:spacing w:line="500" w:lineRule="exact"/>
        <w:ind w:firstLine="645"/>
      </w:pPr>
      <w:r>
        <w:rPr>
          <w:rFonts w:hint="eastAsia"/>
        </w:rPr>
        <w:t>（四）疏堵结合，县教委会同有关部门研究制定营养配餐工作方案，解决学生就餐问题。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239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2016-12-16T09:44:56Z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