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05"/>
        <w:gridCol w:w="75"/>
        <w:gridCol w:w="1645"/>
        <w:gridCol w:w="875"/>
        <w:gridCol w:w="180"/>
        <w:gridCol w:w="945"/>
        <w:gridCol w:w="175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附件4</w:t>
            </w:r>
          </w:p>
          <w:p>
            <w:pPr>
              <w:jc w:val="center"/>
              <w:rPr>
                <w:rFonts w:hint="eastAsia" w:ascii="小标宋" w:hAnsi="宋体" w:eastAsia="小标宋" w:cs="宋体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小标宋" w:hAnsi="宋体" w:eastAsia="小标宋" w:cs="宋体"/>
                <w:bCs/>
                <w:kern w:val="0"/>
                <w:sz w:val="30"/>
                <w:szCs w:val="30"/>
              </w:rPr>
              <w:t>企业国有资本收益（企业清算收入）申报表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申报单位（清算人或管理人）基本情况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批准成立单位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企业清算基本情况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所处行业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265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（国有独资企业或国有控股参股企业）</w:t>
            </w:r>
          </w:p>
        </w:tc>
        <w:tc>
          <w:tcPr>
            <w:tcW w:w="265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其中：国有股权（股份）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原法人代表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原财务负责人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账面资产总额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其中：固定资产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账面负债总额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账面净资产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审计机构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资产评估机构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清算终结日（或法院裁定清算程序终结日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应交企业清算收入申报情况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申 报 数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预算单位审核数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区财政局复核数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清算财产变价总收入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减：清算费用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减：共益债务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剩余清算收入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减：拖欠职工的劳动债权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减：缴纳欠交税款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清算净收入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国有股权（股份）所占比例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应交企业清算收入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附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列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资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.股东大会关于实施清算的决议或有关部门批准清算的文件；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4.企业清算报告；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0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清算人或管理人组织成立的文件；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5.其他资料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清算审计报告；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tabs>
                <w:tab w:val="left" w:pos="447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明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该企业按照国家规定实施清算，申报资料真实、合法，股东合法权益没有受到损害。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7"/>
              </w:tabs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清算人或管理人代表（签章）：           （代公章）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                                             20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经办人：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4DD1"/>
    <w:rsid w:val="643B4D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2016-12-21T06:53:00Z</dcterms:created>
  <dc:creator>banruo</dc:creator>
  <cp:lastModifiedBy>banruo</cp:lastModifiedBy>
  <dcterms:modified xsi:type="dcterms:W3CDTF">2016-12-21T06:53:35Z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