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2BB" w:rsidRPr="00B439A5" w:rsidRDefault="00BD42BB" w:rsidP="00BD42BB">
      <w:pPr>
        <w:adjustRightInd w:val="0"/>
        <w:snapToGrid w:val="0"/>
        <w:spacing w:line="560" w:lineRule="exact"/>
        <w:rPr>
          <w:rFonts w:ascii="黑体" w:eastAsia="黑体" w:hint="eastAsia"/>
          <w:color w:val="000000"/>
          <w:sz w:val="32"/>
          <w:szCs w:val="32"/>
        </w:rPr>
      </w:pPr>
      <w:r w:rsidRPr="00B439A5">
        <w:rPr>
          <w:rFonts w:ascii="黑体" w:eastAsia="黑体" w:hint="eastAsia"/>
          <w:color w:val="000000"/>
          <w:sz w:val="32"/>
          <w:szCs w:val="32"/>
        </w:rPr>
        <w:t>附件2</w:t>
      </w:r>
    </w:p>
    <w:p w:rsidR="00BD42BB" w:rsidRPr="00B439A5" w:rsidRDefault="00BD42BB" w:rsidP="00BD42BB">
      <w:pPr>
        <w:adjustRightInd w:val="0"/>
        <w:snapToGrid w:val="0"/>
        <w:spacing w:line="560" w:lineRule="exact"/>
        <w:rPr>
          <w:rFonts w:ascii="黑体" w:eastAsia="黑体" w:hint="eastAsia"/>
          <w:color w:val="000000"/>
          <w:sz w:val="32"/>
          <w:szCs w:val="32"/>
        </w:rPr>
      </w:pPr>
    </w:p>
    <w:p w:rsidR="00BD42BB" w:rsidRPr="00B439A5" w:rsidRDefault="00BD42BB" w:rsidP="00BD42BB">
      <w:pPr>
        <w:adjustRightInd w:val="0"/>
        <w:snapToGrid w:val="0"/>
        <w:spacing w:line="560" w:lineRule="exact"/>
        <w:jc w:val="center"/>
        <w:rPr>
          <w:rFonts w:ascii="方正小标宋简体" w:eastAsia="方正小标宋简体" w:hAnsi="华文仿宋" w:hint="eastAsia"/>
          <w:color w:val="000000"/>
          <w:sz w:val="44"/>
          <w:szCs w:val="44"/>
        </w:rPr>
      </w:pPr>
      <w:r w:rsidRPr="00B439A5">
        <w:rPr>
          <w:rFonts w:ascii="方正小标宋简体" w:eastAsia="方正小标宋简体" w:hAnsi="华文仿宋" w:hint="eastAsia"/>
          <w:color w:val="000000"/>
          <w:sz w:val="44"/>
          <w:szCs w:val="44"/>
        </w:rPr>
        <w:t>关于《北京市地方税务局关于调整部分</w:t>
      </w:r>
    </w:p>
    <w:p w:rsidR="00BD42BB" w:rsidRPr="00B439A5" w:rsidRDefault="00BD42BB" w:rsidP="00BD42BB">
      <w:pPr>
        <w:adjustRightInd w:val="0"/>
        <w:snapToGrid w:val="0"/>
        <w:spacing w:line="560" w:lineRule="exact"/>
        <w:jc w:val="center"/>
        <w:rPr>
          <w:rFonts w:ascii="方正小标宋简体" w:eastAsia="方正小标宋简体" w:hAnsi="华文仿宋" w:hint="eastAsia"/>
          <w:color w:val="000000"/>
          <w:sz w:val="44"/>
          <w:szCs w:val="44"/>
        </w:rPr>
      </w:pPr>
      <w:r w:rsidRPr="00B439A5">
        <w:rPr>
          <w:rFonts w:ascii="方正小标宋简体" w:eastAsia="方正小标宋简体" w:hAnsi="华文仿宋" w:hint="eastAsia"/>
          <w:color w:val="000000"/>
          <w:sz w:val="44"/>
          <w:szCs w:val="44"/>
        </w:rPr>
        <w:t>外资银行管辖税务机关的公告》的政策解读</w:t>
      </w:r>
    </w:p>
    <w:p w:rsidR="00BD42BB" w:rsidRPr="00B439A5" w:rsidRDefault="00BD42BB" w:rsidP="00BD42BB">
      <w:pPr>
        <w:adjustRightInd w:val="0"/>
        <w:snapToGrid w:val="0"/>
        <w:spacing w:line="560" w:lineRule="exact"/>
        <w:rPr>
          <w:rFonts w:ascii="黑体" w:eastAsia="黑体" w:hAnsi="华文仿宋"/>
          <w:color w:val="000000"/>
          <w:sz w:val="36"/>
          <w:szCs w:val="36"/>
        </w:rPr>
      </w:pPr>
    </w:p>
    <w:p w:rsidR="00BD42BB" w:rsidRPr="00B439A5" w:rsidRDefault="00BD42BB" w:rsidP="00BD42BB">
      <w:pPr>
        <w:adjustRightInd w:val="0"/>
        <w:snapToGrid w:val="0"/>
        <w:spacing w:line="560" w:lineRule="exact"/>
        <w:ind w:firstLineChars="200" w:firstLine="640"/>
        <w:rPr>
          <w:rFonts w:ascii="仿宋_GB2312" w:eastAsia="仿宋_GB2312" w:hAnsi="华文仿宋"/>
          <w:color w:val="000000"/>
          <w:sz w:val="32"/>
          <w:szCs w:val="32"/>
        </w:rPr>
      </w:pPr>
      <w:r w:rsidRPr="00B439A5">
        <w:rPr>
          <w:rFonts w:ascii="仿宋_GB2312" w:eastAsia="仿宋_GB2312" w:hAnsi="华文仿宋" w:hint="eastAsia"/>
          <w:color w:val="000000"/>
          <w:sz w:val="32"/>
          <w:szCs w:val="32"/>
        </w:rPr>
        <w:t>为进一步规范税务登记管理，加强外资银行的税收征管，根据《中华人民共和国税收征收管理法》及其实施细则、《税务登记管理办法》的有关规定，北京市地方税务局印发了《北京市地方税务局关于调整部分外资银行管辖税务机关的公告》（</w:t>
      </w:r>
      <w:r w:rsidRPr="00B439A5">
        <w:rPr>
          <w:rFonts w:ascii="仿宋_GB2312" w:eastAsia="仿宋_GB2312" w:hAnsi="华文仿宋"/>
          <w:color w:val="000000"/>
          <w:sz w:val="32"/>
          <w:szCs w:val="32"/>
        </w:rPr>
        <w:t>2013</w:t>
      </w:r>
      <w:r w:rsidRPr="00B439A5">
        <w:rPr>
          <w:rFonts w:ascii="仿宋_GB2312" w:eastAsia="仿宋_GB2312" w:hAnsi="华文仿宋" w:hint="eastAsia"/>
          <w:color w:val="000000"/>
          <w:sz w:val="32"/>
          <w:szCs w:val="32"/>
        </w:rPr>
        <w:t>年第</w:t>
      </w:r>
      <w:r>
        <w:rPr>
          <w:rFonts w:ascii="仿宋_GB2312" w:eastAsia="仿宋_GB2312" w:hAnsi="华文仿宋" w:hint="eastAsia"/>
          <w:color w:val="000000"/>
          <w:sz w:val="32"/>
          <w:szCs w:val="32"/>
        </w:rPr>
        <w:t>11</w:t>
      </w:r>
      <w:r w:rsidRPr="00B439A5">
        <w:rPr>
          <w:rFonts w:ascii="仿宋_GB2312" w:eastAsia="仿宋_GB2312" w:hAnsi="华文仿宋" w:hint="eastAsia"/>
          <w:color w:val="000000"/>
          <w:sz w:val="32"/>
          <w:szCs w:val="32"/>
        </w:rPr>
        <w:t>号，以下简称《公告》），现解读如下：</w:t>
      </w:r>
    </w:p>
    <w:p w:rsidR="00BD42BB" w:rsidRPr="00B439A5" w:rsidRDefault="00BD42BB" w:rsidP="00BD42BB">
      <w:pPr>
        <w:adjustRightInd w:val="0"/>
        <w:snapToGrid w:val="0"/>
        <w:spacing w:line="560" w:lineRule="exact"/>
        <w:ind w:firstLineChars="200" w:firstLine="640"/>
        <w:rPr>
          <w:rFonts w:ascii="黑体" w:eastAsia="黑体" w:hAnsi="华文仿宋"/>
          <w:color w:val="000000"/>
          <w:sz w:val="32"/>
          <w:szCs w:val="32"/>
        </w:rPr>
      </w:pPr>
      <w:r w:rsidRPr="00B439A5">
        <w:rPr>
          <w:rFonts w:ascii="黑体" w:eastAsia="黑体" w:hAnsi="华文仿宋" w:hint="eastAsia"/>
          <w:color w:val="000000"/>
          <w:sz w:val="32"/>
          <w:szCs w:val="32"/>
        </w:rPr>
        <w:t>一、为何要调整部分外资银行的管辖税务机关？</w:t>
      </w:r>
    </w:p>
    <w:p w:rsidR="00BD42BB" w:rsidRPr="00B439A5" w:rsidRDefault="00BD42BB" w:rsidP="00BD42BB">
      <w:pPr>
        <w:adjustRightInd w:val="0"/>
        <w:snapToGrid w:val="0"/>
        <w:spacing w:line="560" w:lineRule="exact"/>
        <w:ind w:firstLineChars="200" w:firstLine="640"/>
        <w:rPr>
          <w:rFonts w:ascii="仿宋_GB2312" w:eastAsia="仿宋_GB2312" w:hAnsi="华文仿宋"/>
          <w:color w:val="000000"/>
          <w:sz w:val="32"/>
          <w:szCs w:val="32"/>
        </w:rPr>
      </w:pPr>
      <w:r w:rsidRPr="00B439A5">
        <w:rPr>
          <w:rFonts w:ascii="仿宋_GB2312" w:eastAsia="仿宋_GB2312" w:hint="eastAsia"/>
          <w:bCs/>
          <w:color w:val="000000"/>
          <w:sz w:val="32"/>
          <w:szCs w:val="32"/>
        </w:rPr>
        <w:t>税务登记是税务机关实施税收征管的基础和前提，应严格按照《税务登记管理办法》的规定和税收征收管理范围核准税务登记主管机关，确保我市地方税务机关依法行政、依法治税、依法管理、依法监督。</w:t>
      </w:r>
    </w:p>
    <w:p w:rsidR="00BD42BB" w:rsidRPr="00B439A5" w:rsidRDefault="00BD42BB" w:rsidP="00BD42BB">
      <w:pPr>
        <w:adjustRightInd w:val="0"/>
        <w:snapToGrid w:val="0"/>
        <w:spacing w:line="560" w:lineRule="exact"/>
        <w:ind w:firstLineChars="200" w:firstLine="640"/>
        <w:rPr>
          <w:rFonts w:ascii="黑体" w:eastAsia="黑体" w:hAnsi="华文仿宋"/>
          <w:color w:val="000000"/>
          <w:sz w:val="32"/>
          <w:szCs w:val="32"/>
        </w:rPr>
      </w:pPr>
      <w:r w:rsidRPr="00B439A5">
        <w:rPr>
          <w:rFonts w:ascii="黑体" w:eastAsia="黑体" w:hAnsi="华文仿宋" w:hint="eastAsia"/>
          <w:color w:val="000000"/>
          <w:sz w:val="32"/>
          <w:szCs w:val="32"/>
        </w:rPr>
        <w:t>二、如何办理变更国标税控收款机手续？</w:t>
      </w:r>
    </w:p>
    <w:p w:rsidR="00BD42BB" w:rsidRPr="00B439A5" w:rsidRDefault="00BD42BB" w:rsidP="00BD42BB">
      <w:pPr>
        <w:adjustRightInd w:val="0"/>
        <w:snapToGrid w:val="0"/>
        <w:spacing w:line="560" w:lineRule="exact"/>
        <w:ind w:firstLineChars="200" w:firstLine="640"/>
        <w:rPr>
          <w:rFonts w:ascii="仿宋_GB2312" w:eastAsia="仿宋_GB2312" w:hAnsi="华文仿宋"/>
          <w:color w:val="000000"/>
          <w:sz w:val="32"/>
          <w:szCs w:val="32"/>
        </w:rPr>
      </w:pPr>
      <w:r w:rsidRPr="00B439A5">
        <w:rPr>
          <w:rFonts w:ascii="仿宋_GB2312" w:eastAsia="仿宋_GB2312" w:hAnsi="华文仿宋" w:hint="eastAsia"/>
          <w:color w:val="000000"/>
          <w:sz w:val="32"/>
          <w:szCs w:val="32"/>
        </w:rPr>
        <w:t>凡使用国标税控收款机的纳税人需要在本公告实施前到北京市地方税务局直属税务分局办理税控装置注销手续和发票缴销手续，待调整后，到新的主管地方税务机关更换用户卡和税控</w:t>
      </w:r>
      <w:r w:rsidRPr="00B439A5">
        <w:rPr>
          <w:rFonts w:ascii="仿宋_GB2312" w:eastAsia="仿宋_GB2312" w:hAnsi="华文仿宋"/>
          <w:color w:val="000000"/>
          <w:sz w:val="32"/>
          <w:szCs w:val="32"/>
        </w:rPr>
        <w:t>IC</w:t>
      </w:r>
      <w:r w:rsidRPr="00B439A5">
        <w:rPr>
          <w:rFonts w:ascii="仿宋_GB2312" w:eastAsia="仿宋_GB2312" w:hAnsi="华文仿宋" w:hint="eastAsia"/>
          <w:color w:val="000000"/>
          <w:sz w:val="32"/>
          <w:szCs w:val="32"/>
        </w:rPr>
        <w:t>卡，国标税控收款机仍可继续使用，并向调整后的主管地方税务机关办理发票领用手续。</w:t>
      </w:r>
    </w:p>
    <w:p w:rsidR="00BD42BB" w:rsidRPr="00B439A5" w:rsidRDefault="00BD42BB" w:rsidP="00BD42BB">
      <w:pPr>
        <w:adjustRightInd w:val="0"/>
        <w:snapToGrid w:val="0"/>
        <w:spacing w:line="560" w:lineRule="exact"/>
        <w:ind w:firstLineChars="200" w:firstLine="640"/>
        <w:rPr>
          <w:rFonts w:ascii="黑体" w:eastAsia="黑体" w:hAnsi="华文仿宋" w:hint="eastAsia"/>
          <w:color w:val="000000"/>
          <w:sz w:val="32"/>
          <w:szCs w:val="32"/>
        </w:rPr>
      </w:pPr>
      <w:r w:rsidRPr="00B439A5">
        <w:rPr>
          <w:rFonts w:ascii="黑体" w:eastAsia="黑体" w:hAnsi="华文仿宋" w:hint="eastAsia"/>
          <w:color w:val="000000"/>
          <w:sz w:val="32"/>
          <w:szCs w:val="32"/>
        </w:rPr>
        <w:t>三、如何办理变更三方协议手续？</w:t>
      </w:r>
    </w:p>
    <w:p w:rsidR="00BD42BB" w:rsidRPr="00B439A5" w:rsidRDefault="00BD42BB" w:rsidP="00BD42BB">
      <w:pPr>
        <w:adjustRightInd w:val="0"/>
        <w:snapToGrid w:val="0"/>
        <w:spacing w:line="560" w:lineRule="exact"/>
        <w:ind w:firstLineChars="200" w:firstLine="640"/>
        <w:rPr>
          <w:rFonts w:ascii="仿宋_GB2312" w:eastAsia="仿宋_GB2312" w:hAnsi="华文仿宋" w:hint="eastAsia"/>
          <w:color w:val="000000"/>
          <w:sz w:val="32"/>
          <w:szCs w:val="32"/>
        </w:rPr>
      </w:pPr>
      <w:r w:rsidRPr="00B439A5">
        <w:rPr>
          <w:rFonts w:ascii="仿宋_GB2312" w:eastAsia="仿宋_GB2312" w:hAnsi="华文仿宋" w:hint="eastAsia"/>
          <w:color w:val="000000"/>
          <w:sz w:val="32"/>
          <w:szCs w:val="32"/>
        </w:rPr>
        <w:t>凡使用</w:t>
      </w:r>
      <w:r w:rsidRPr="00B439A5">
        <w:rPr>
          <w:rFonts w:ascii="仿宋_GB2312" w:eastAsia="仿宋_GB2312" w:hAnsi="华文仿宋"/>
          <w:color w:val="000000"/>
          <w:sz w:val="32"/>
          <w:szCs w:val="32"/>
        </w:rPr>
        <w:t>BJCA</w:t>
      </w:r>
      <w:r w:rsidRPr="00B439A5">
        <w:rPr>
          <w:rFonts w:ascii="仿宋_GB2312" w:eastAsia="仿宋_GB2312" w:hAnsi="华文仿宋" w:hint="eastAsia"/>
          <w:color w:val="000000"/>
          <w:sz w:val="32"/>
          <w:szCs w:val="32"/>
        </w:rPr>
        <w:t>数字证书且与北京市地方税务局直属税务分局签订了网上申报三方协议进行申报缴税的纳税人，需在</w:t>
      </w:r>
      <w:r w:rsidRPr="00B439A5">
        <w:rPr>
          <w:rFonts w:ascii="仿宋_GB2312" w:eastAsia="仿宋_GB2312" w:hAnsi="华文仿宋" w:hint="eastAsia"/>
          <w:color w:val="000000"/>
          <w:sz w:val="32"/>
          <w:szCs w:val="32"/>
        </w:rPr>
        <w:lastRenderedPageBreak/>
        <w:t>本公告实施前到北京市地方税务局直属税务分局填报《终止三方协议申请表》办理终止三方协议，待调整后，与新的主管地方税务机关重新签订三方协议。</w:t>
      </w:r>
    </w:p>
    <w:p w:rsidR="00667C5D" w:rsidRPr="00BD42BB" w:rsidRDefault="00667C5D"/>
    <w:sectPr w:rsidR="00667C5D" w:rsidRPr="00BD42BB" w:rsidSect="00667C5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4B3C" w:rsidRDefault="00274B3C" w:rsidP="00BD42BB">
      <w:r>
        <w:separator/>
      </w:r>
    </w:p>
  </w:endnote>
  <w:endnote w:type="continuationSeparator" w:id="0">
    <w:p w:rsidR="00274B3C" w:rsidRDefault="00274B3C" w:rsidP="00BD42B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4B3C" w:rsidRDefault="00274B3C" w:rsidP="00BD42BB">
      <w:r>
        <w:separator/>
      </w:r>
    </w:p>
  </w:footnote>
  <w:footnote w:type="continuationSeparator" w:id="0">
    <w:p w:rsidR="00274B3C" w:rsidRDefault="00274B3C" w:rsidP="00BD42B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D42BB"/>
    <w:rsid w:val="00274B3C"/>
    <w:rsid w:val="00667C5D"/>
    <w:rsid w:val="00BD42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2B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D42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D42BB"/>
    <w:rPr>
      <w:sz w:val="18"/>
      <w:szCs w:val="18"/>
    </w:rPr>
  </w:style>
  <w:style w:type="paragraph" w:styleId="a4">
    <w:name w:val="footer"/>
    <w:basedOn w:val="a"/>
    <w:link w:val="Char0"/>
    <w:uiPriority w:val="99"/>
    <w:semiHidden/>
    <w:unhideWhenUsed/>
    <w:rsid w:val="00BD42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BD42BB"/>
    <w:rPr>
      <w:sz w:val="18"/>
      <w:szCs w:val="18"/>
    </w:rPr>
  </w:style>
  <w:style w:type="paragraph" w:customStyle="1" w:styleId="CharCharCharChar">
    <w:name w:val=" Char Char Char Char"/>
    <w:basedOn w:val="a"/>
    <w:rsid w:val="00BD42BB"/>
    <w:pPr>
      <w:widowControl/>
      <w:spacing w:after="160" w:line="240" w:lineRule="exact"/>
      <w:jc w:val="left"/>
    </w:pPr>
    <w:rPr>
      <w:rFonts w:ascii="Verdana" w:hAnsi="Verdana"/>
      <w:kern w:val="0"/>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Words>
  <Characters>485</Characters>
  <Application>Microsoft Office Word</Application>
  <DocSecurity>0</DocSecurity>
  <Lines>4</Lines>
  <Paragraphs>1</Paragraphs>
  <ScaleCrop>false</ScaleCrop>
  <Company/>
  <LinksUpToDate>false</LinksUpToDate>
  <CharactersWithSpaces>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lmj</dc:creator>
  <cp:keywords/>
  <dc:description/>
  <cp:lastModifiedBy>lmj</cp:lastModifiedBy>
  <cp:revision>2</cp:revision>
  <dcterms:created xsi:type="dcterms:W3CDTF">2016-12-16T02:16:00Z</dcterms:created>
  <dcterms:modified xsi:type="dcterms:W3CDTF">2016-12-16T02:16:00Z</dcterms:modified>
</cp:coreProperties>
</file>