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4C" w:rsidRPr="0014676A" w:rsidRDefault="001A314C" w:rsidP="001A314C">
      <w:pPr>
        <w:spacing w:line="560" w:lineRule="exact"/>
        <w:rPr>
          <w:rFonts w:ascii="黑体" w:eastAsia="黑体" w:hAnsi="仿宋" w:hint="eastAsia"/>
          <w:sz w:val="32"/>
          <w:szCs w:val="32"/>
        </w:rPr>
      </w:pPr>
      <w:r w:rsidRPr="0014676A">
        <w:rPr>
          <w:rFonts w:ascii="黑体" w:eastAsia="黑体" w:hAnsi="仿宋" w:hint="eastAsia"/>
          <w:sz w:val="32"/>
          <w:szCs w:val="32"/>
        </w:rPr>
        <w:t>附件：</w:t>
      </w:r>
    </w:p>
    <w:p w:rsidR="001A314C" w:rsidRPr="00994D0B" w:rsidRDefault="001A314C" w:rsidP="001A314C">
      <w:pPr>
        <w:spacing w:line="560" w:lineRule="exact"/>
        <w:rPr>
          <w:rFonts w:ascii="仿宋_GB2312" w:eastAsia="仿宋_GB2312" w:hAnsi="仿宋"/>
          <w:sz w:val="32"/>
          <w:szCs w:val="32"/>
        </w:rPr>
      </w:pPr>
    </w:p>
    <w:p w:rsidR="001A314C" w:rsidRDefault="001A314C" w:rsidP="001A314C">
      <w:pPr>
        <w:spacing w:line="560" w:lineRule="exact"/>
        <w:jc w:val="center"/>
        <w:rPr>
          <w:rFonts w:ascii="方正小标宋简体" w:eastAsia="方正小标宋简体" w:hAnsi="仿宋" w:hint="eastAsia"/>
          <w:color w:val="000000"/>
          <w:sz w:val="44"/>
          <w:szCs w:val="44"/>
        </w:rPr>
      </w:pPr>
      <w:r w:rsidRPr="0014676A">
        <w:rPr>
          <w:rFonts w:ascii="方正小标宋简体" w:eastAsia="方正小标宋简体" w:hAnsi="仿宋" w:hint="eastAsia"/>
          <w:sz w:val="44"/>
          <w:szCs w:val="44"/>
        </w:rPr>
        <w:t>关于《</w:t>
      </w:r>
      <w:r w:rsidRPr="0014676A">
        <w:rPr>
          <w:rFonts w:ascii="方正小标宋简体" w:eastAsia="方正小标宋简体" w:hAnsi="仿宋" w:hint="eastAsia"/>
          <w:color w:val="000000"/>
          <w:sz w:val="44"/>
          <w:szCs w:val="44"/>
        </w:rPr>
        <w:t>北京市地方税务局 北京市国土资源局</w:t>
      </w:r>
    </w:p>
    <w:p w:rsidR="001A314C" w:rsidRDefault="001A314C" w:rsidP="001A314C">
      <w:pPr>
        <w:spacing w:line="560" w:lineRule="exact"/>
        <w:jc w:val="center"/>
        <w:rPr>
          <w:rFonts w:ascii="方正小标宋简体" w:eastAsia="方正小标宋简体" w:hAnsi="仿宋" w:hint="eastAsia"/>
          <w:color w:val="000000"/>
          <w:sz w:val="44"/>
          <w:szCs w:val="44"/>
        </w:rPr>
      </w:pPr>
      <w:r w:rsidRPr="0014676A">
        <w:rPr>
          <w:rFonts w:ascii="方正小标宋简体" w:eastAsia="方正小标宋简体" w:hAnsi="仿宋" w:hint="eastAsia"/>
          <w:color w:val="000000"/>
          <w:sz w:val="44"/>
          <w:szCs w:val="44"/>
        </w:rPr>
        <w:t>关于加强耕地占用税管理工作</w:t>
      </w:r>
    </w:p>
    <w:p w:rsidR="001A314C" w:rsidRPr="0014676A" w:rsidRDefault="001A314C" w:rsidP="001A314C">
      <w:pPr>
        <w:spacing w:line="560" w:lineRule="exact"/>
        <w:jc w:val="center"/>
        <w:rPr>
          <w:rFonts w:ascii="方正小标宋简体" w:eastAsia="方正小标宋简体" w:hAnsi="仿宋" w:hint="eastAsia"/>
          <w:sz w:val="44"/>
          <w:szCs w:val="44"/>
        </w:rPr>
      </w:pPr>
      <w:r w:rsidRPr="0014676A">
        <w:rPr>
          <w:rFonts w:ascii="方正小标宋简体" w:eastAsia="方正小标宋简体" w:hAnsi="仿宋" w:hint="eastAsia"/>
          <w:color w:val="000000"/>
          <w:sz w:val="44"/>
          <w:szCs w:val="44"/>
        </w:rPr>
        <w:t>的公告</w:t>
      </w:r>
      <w:r w:rsidRPr="0014676A">
        <w:rPr>
          <w:rFonts w:ascii="方正小标宋简体" w:eastAsia="方正小标宋简体" w:hAnsi="仿宋" w:hint="eastAsia"/>
          <w:sz w:val="44"/>
          <w:szCs w:val="44"/>
        </w:rPr>
        <w:t>》的政策解读</w:t>
      </w:r>
    </w:p>
    <w:p w:rsidR="001A314C" w:rsidRPr="00994D0B" w:rsidRDefault="001A314C" w:rsidP="001A314C">
      <w:pPr>
        <w:spacing w:line="560" w:lineRule="exact"/>
        <w:rPr>
          <w:rFonts w:ascii="仿宋_GB2312" w:eastAsia="仿宋_GB2312" w:hAnsi="仿宋"/>
          <w:sz w:val="32"/>
          <w:szCs w:val="32"/>
        </w:rPr>
      </w:pPr>
    </w:p>
    <w:p w:rsidR="001A314C" w:rsidRPr="0014676A" w:rsidRDefault="001A314C" w:rsidP="001A314C">
      <w:pPr>
        <w:spacing w:line="560" w:lineRule="exact"/>
        <w:ind w:firstLineChars="200" w:firstLine="640"/>
        <w:rPr>
          <w:rFonts w:ascii="黑体" w:eastAsia="黑体" w:hAnsi="仿宋" w:cs="仿宋_GB2312" w:hint="eastAsia"/>
          <w:color w:val="000000"/>
          <w:kern w:val="0"/>
          <w:sz w:val="32"/>
          <w:szCs w:val="32"/>
        </w:rPr>
      </w:pPr>
      <w:r w:rsidRPr="0014676A">
        <w:rPr>
          <w:rFonts w:ascii="黑体" w:eastAsia="黑体" w:hAnsi="仿宋" w:hint="eastAsia"/>
          <w:sz w:val="32"/>
          <w:szCs w:val="32"/>
        </w:rPr>
        <w:t>一、为什么将</w:t>
      </w:r>
      <w:r w:rsidRPr="0014676A">
        <w:rPr>
          <w:rFonts w:ascii="黑体" w:eastAsia="黑体" w:hAnsi="仿宋" w:cs="仿宋_GB2312" w:hint="eastAsia"/>
          <w:color w:val="000000"/>
          <w:kern w:val="0"/>
          <w:sz w:val="32"/>
          <w:szCs w:val="32"/>
        </w:rPr>
        <w:t>耕地占用税的审核工作由办理建设用地批准书环节调整为办理征地结案环节？</w:t>
      </w:r>
    </w:p>
    <w:p w:rsidR="001A314C" w:rsidRPr="00994D0B" w:rsidRDefault="001A314C" w:rsidP="001A314C">
      <w:pPr>
        <w:spacing w:line="560" w:lineRule="exact"/>
        <w:ind w:firstLineChars="200" w:firstLine="640"/>
        <w:rPr>
          <w:rFonts w:ascii="仿宋_GB2312" w:eastAsia="仿宋_GB2312" w:hAnsi="仿宋"/>
          <w:sz w:val="32"/>
          <w:szCs w:val="32"/>
        </w:rPr>
      </w:pPr>
      <w:r w:rsidRPr="00994D0B">
        <w:rPr>
          <w:rFonts w:ascii="仿宋_GB2312" w:eastAsia="仿宋_GB2312" w:hAnsi="仿宋" w:hint="eastAsia"/>
          <w:sz w:val="32"/>
          <w:szCs w:val="32"/>
        </w:rPr>
        <w:t>答：根据</w:t>
      </w:r>
      <w:r w:rsidRPr="00994D0B">
        <w:rPr>
          <w:rFonts w:ascii="仿宋_GB2312" w:eastAsia="仿宋_GB2312" w:hAnsi="仿宋" w:cs="仿宋_GB2312" w:hint="eastAsia"/>
          <w:color w:val="000000"/>
          <w:kern w:val="0"/>
          <w:sz w:val="32"/>
          <w:szCs w:val="32"/>
        </w:rPr>
        <w:t>《北京市人民政府关于取消和下放246项行政审批项目的通知》（</w:t>
      </w:r>
      <w:r w:rsidRPr="00994D0B">
        <w:rPr>
          <w:rFonts w:ascii="仿宋_GB2312" w:eastAsia="仿宋_GB2312" w:hAnsi="仿宋" w:cs="仿宋_GB2312"/>
          <w:color w:val="000000"/>
          <w:kern w:val="0"/>
          <w:sz w:val="32"/>
          <w:szCs w:val="32"/>
        </w:rPr>
        <w:t>京政发〔2013〕26号</w:t>
      </w:r>
      <w:r w:rsidRPr="00994D0B">
        <w:rPr>
          <w:rFonts w:ascii="仿宋_GB2312" w:eastAsia="仿宋_GB2312" w:hAnsi="仿宋" w:cs="仿宋_GB2312" w:hint="eastAsia"/>
          <w:color w:val="000000"/>
          <w:kern w:val="0"/>
          <w:sz w:val="32"/>
          <w:szCs w:val="32"/>
        </w:rPr>
        <w:t>）的有关规定，办理建设用地批准书属于北京市决定下放的非行政许可类项目，下放后由市国土资源局各区县分局负责实施。为进一步加强耕地占用税的管理工作，考虑到纳税人需要到市国土资源局各区县分局办理征地结案手续。为方便纳税人办理有关手续，同时又便于市国土资源局各区县分局审核工作的开展，因此将耕地占用税的审核工作调整为办理征地结案环节。</w:t>
      </w:r>
    </w:p>
    <w:p w:rsidR="001A314C" w:rsidRPr="0014676A" w:rsidRDefault="001A314C" w:rsidP="001A314C">
      <w:pPr>
        <w:spacing w:line="560" w:lineRule="exact"/>
        <w:ind w:firstLineChars="200" w:firstLine="640"/>
        <w:rPr>
          <w:rFonts w:ascii="黑体" w:eastAsia="黑体" w:hAnsi="仿宋"/>
          <w:sz w:val="32"/>
          <w:szCs w:val="32"/>
        </w:rPr>
      </w:pPr>
      <w:r w:rsidRPr="0014676A">
        <w:rPr>
          <w:rFonts w:ascii="黑体" w:eastAsia="黑体" w:hAnsi="仿宋" w:hint="eastAsia"/>
          <w:sz w:val="32"/>
          <w:szCs w:val="32"/>
        </w:rPr>
        <w:t>二、为什么要分不同情形明确耕地占用税纳税人应提供的证明材料？</w:t>
      </w:r>
    </w:p>
    <w:p w:rsidR="001A314C" w:rsidRPr="00994D0B" w:rsidRDefault="001A314C" w:rsidP="001A314C">
      <w:pPr>
        <w:spacing w:line="560" w:lineRule="exact"/>
        <w:ind w:firstLineChars="200" w:firstLine="640"/>
        <w:rPr>
          <w:rFonts w:ascii="仿宋_GB2312" w:eastAsia="仿宋_GB2312" w:hAnsi="仿宋"/>
          <w:sz w:val="32"/>
          <w:szCs w:val="32"/>
        </w:rPr>
      </w:pPr>
      <w:r w:rsidRPr="00994D0B">
        <w:rPr>
          <w:rFonts w:ascii="仿宋_GB2312" w:eastAsia="仿宋_GB2312" w:hAnsi="仿宋" w:hint="eastAsia"/>
          <w:sz w:val="32"/>
          <w:szCs w:val="32"/>
        </w:rPr>
        <w:t>答：根据</w:t>
      </w:r>
      <w:r w:rsidRPr="00994D0B">
        <w:rPr>
          <w:rFonts w:ascii="仿宋_GB2312" w:eastAsia="仿宋_GB2312" w:hAnsi="仿宋" w:cs="仿宋_GB2312" w:hint="eastAsia"/>
          <w:color w:val="000000"/>
          <w:kern w:val="0"/>
          <w:sz w:val="32"/>
          <w:szCs w:val="32"/>
        </w:rPr>
        <w:t>《中华人民共和国耕地占用税暂行条例》第十二条的规定，土地管理部门需要协助地方税务机关开展耕地占用税的审核工作。为了方便我市国土资源局各区县分局在办理征地结案手续前，协助做好耕地占用税纳免税审核工作，公告中明确了纳税人应按照</w:t>
      </w:r>
      <w:r w:rsidRPr="00994D0B">
        <w:rPr>
          <w:rFonts w:ascii="仿宋_GB2312" w:eastAsia="仿宋_GB2312" w:hAnsi="仿宋" w:hint="eastAsia"/>
          <w:sz w:val="32"/>
          <w:szCs w:val="32"/>
        </w:rPr>
        <w:t>全额征税、</w:t>
      </w:r>
      <w:r w:rsidRPr="00994D0B">
        <w:rPr>
          <w:rFonts w:ascii="仿宋_GB2312" w:eastAsia="仿宋_GB2312" w:hAnsi="仿宋" w:cs="仿宋_GB2312" w:hint="eastAsia"/>
          <w:color w:val="000000"/>
          <w:kern w:val="0"/>
          <w:sz w:val="32"/>
          <w:szCs w:val="32"/>
        </w:rPr>
        <w:t>全额免税和部分减免</w:t>
      </w:r>
      <w:r w:rsidRPr="00994D0B">
        <w:rPr>
          <w:rFonts w:ascii="仿宋_GB2312" w:eastAsia="仿宋_GB2312" w:hAnsi="仿宋" w:cs="仿宋_GB2312" w:hint="eastAsia"/>
          <w:color w:val="000000"/>
          <w:kern w:val="0"/>
          <w:sz w:val="32"/>
          <w:szCs w:val="32"/>
        </w:rPr>
        <w:lastRenderedPageBreak/>
        <w:t>三种不同情形分别提供证明材料。分别提供证明材料，一是便于纳税人了解相关规定，真实、准确、完整地提供相应证明材料</w:t>
      </w:r>
      <w:r w:rsidRPr="00994D0B">
        <w:rPr>
          <w:rFonts w:ascii="仿宋_GB2312" w:eastAsia="仿宋_GB2312" w:hAnsi="仿宋" w:hint="eastAsia"/>
          <w:sz w:val="32"/>
          <w:szCs w:val="32"/>
        </w:rPr>
        <w:t xml:space="preserve">；二是为我市国土资源局各区县分局开展审核工作和留存证明材料提供便利条件。 </w:t>
      </w:r>
    </w:p>
    <w:p w:rsidR="001A314C" w:rsidRPr="0014676A" w:rsidRDefault="001A314C" w:rsidP="001A314C">
      <w:pPr>
        <w:spacing w:line="560" w:lineRule="exact"/>
        <w:ind w:firstLineChars="200" w:firstLine="640"/>
        <w:rPr>
          <w:rFonts w:ascii="黑体" w:eastAsia="黑体" w:hAnsi="仿宋"/>
          <w:sz w:val="32"/>
          <w:szCs w:val="32"/>
        </w:rPr>
      </w:pPr>
      <w:r w:rsidRPr="0014676A">
        <w:rPr>
          <w:rFonts w:ascii="黑体" w:eastAsia="黑体" w:hAnsi="仿宋" w:hint="eastAsia"/>
          <w:sz w:val="32"/>
          <w:szCs w:val="32"/>
        </w:rPr>
        <w:t>三、公告中涉及的《税收缴款书（银行经收专用）》通知联具体用途是什么？</w:t>
      </w:r>
    </w:p>
    <w:p w:rsidR="00CE2155" w:rsidRDefault="001A314C" w:rsidP="001A314C">
      <w:r w:rsidRPr="00994D0B">
        <w:rPr>
          <w:rFonts w:ascii="仿宋_GB2312" w:eastAsia="仿宋_GB2312" w:hAnsi="仿宋" w:hint="eastAsia"/>
          <w:sz w:val="32"/>
          <w:szCs w:val="32"/>
        </w:rPr>
        <w:t>答：按照《国家税务总局关于实施〈税收票证管理办法〉若干问题的公告》（国家税务总局公告</w:t>
      </w:r>
      <w:r w:rsidRPr="00994D0B">
        <w:rPr>
          <w:rFonts w:ascii="仿宋_GB2312" w:eastAsia="仿宋_GB2312" w:hAnsi="仿宋"/>
          <w:sz w:val="32"/>
          <w:szCs w:val="32"/>
        </w:rPr>
        <w:t>2013</w:t>
      </w:r>
      <w:r w:rsidRPr="00994D0B">
        <w:rPr>
          <w:rFonts w:ascii="仿宋_GB2312" w:eastAsia="仿宋_GB2312" w:hAnsi="仿宋" w:hint="eastAsia"/>
          <w:sz w:val="32"/>
          <w:szCs w:val="32"/>
        </w:rPr>
        <w:t>年第</w:t>
      </w:r>
      <w:r w:rsidRPr="00994D0B">
        <w:rPr>
          <w:rFonts w:ascii="仿宋_GB2312" w:eastAsia="仿宋_GB2312" w:hAnsi="仿宋"/>
          <w:sz w:val="32"/>
          <w:szCs w:val="32"/>
        </w:rPr>
        <w:t>34</w:t>
      </w:r>
      <w:r w:rsidRPr="00994D0B">
        <w:rPr>
          <w:rFonts w:ascii="仿宋_GB2312" w:eastAsia="仿宋_GB2312" w:hAnsi="仿宋" w:hint="eastAsia"/>
          <w:sz w:val="32"/>
          <w:szCs w:val="32"/>
        </w:rPr>
        <w:t>号）规定，自</w:t>
      </w:r>
      <w:smartTag w:uri="urn:schemas-microsoft-com:office:smarttags" w:element="chsdate">
        <w:smartTagPr>
          <w:attr w:name="IsROCDate" w:val="False"/>
          <w:attr w:name="IsLunarDate" w:val="False"/>
          <w:attr w:name="Day" w:val="1"/>
          <w:attr w:name="Month" w:val="1"/>
          <w:attr w:name="Year" w:val="2014"/>
        </w:smartTagPr>
        <w:r w:rsidRPr="00994D0B">
          <w:rPr>
            <w:rFonts w:ascii="仿宋_GB2312" w:eastAsia="仿宋_GB2312" w:hAnsi="仿宋" w:hint="eastAsia"/>
            <w:sz w:val="32"/>
            <w:szCs w:val="32"/>
          </w:rPr>
          <w:t>2014年1月1日起</w:t>
        </w:r>
      </w:smartTag>
      <w:r w:rsidRPr="00994D0B">
        <w:rPr>
          <w:rFonts w:ascii="仿宋_GB2312" w:eastAsia="仿宋_GB2312" w:hAnsi="仿宋" w:hint="eastAsia"/>
          <w:sz w:val="32"/>
          <w:szCs w:val="32"/>
        </w:rPr>
        <w:t>，各地税务机关统一启用由国家税务总局制发的新税收票证式样，我市耕地占用税征收一律使用带有通知联的《税收缴款书（银行经收专用）》。其中，通知联由协税把关的部门留存使用。</w:t>
      </w:r>
    </w:p>
    <w:sectPr w:rsidR="00CE2155" w:rsidSect="00CE2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CC2" w:rsidRDefault="00444CC2" w:rsidP="001A314C">
      <w:r>
        <w:separator/>
      </w:r>
    </w:p>
  </w:endnote>
  <w:endnote w:type="continuationSeparator" w:id="0">
    <w:p w:rsidR="00444CC2" w:rsidRDefault="00444CC2" w:rsidP="001A3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CC2" w:rsidRDefault="00444CC2" w:rsidP="001A314C">
      <w:r>
        <w:separator/>
      </w:r>
    </w:p>
  </w:footnote>
  <w:footnote w:type="continuationSeparator" w:id="0">
    <w:p w:rsidR="00444CC2" w:rsidRDefault="00444CC2" w:rsidP="001A3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14C"/>
    <w:rsid w:val="001A314C"/>
    <w:rsid w:val="00444CC2"/>
    <w:rsid w:val="00CE2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1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314C"/>
    <w:rPr>
      <w:sz w:val="18"/>
      <w:szCs w:val="18"/>
    </w:rPr>
  </w:style>
  <w:style w:type="paragraph" w:styleId="a4">
    <w:name w:val="footer"/>
    <w:basedOn w:val="a"/>
    <w:link w:val="Char0"/>
    <w:uiPriority w:val="99"/>
    <w:semiHidden/>
    <w:unhideWhenUsed/>
    <w:rsid w:val="001A31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31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2016-12-16T01:26:00Z</dcterms:created>
  <dcterms:modified xsi:type="dcterms:W3CDTF">2016-12-16T01:27:00Z</dcterms:modified>
</cp:coreProperties>
</file>