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375" w:rsidRPr="00FB0BCB" w:rsidRDefault="00174375" w:rsidP="00174375">
      <w:pPr>
        <w:rPr>
          <w:rFonts w:ascii="黑体" w:eastAsia="黑体" w:hAnsi="黑体" w:hint="eastAsia"/>
          <w:sz w:val="32"/>
          <w:szCs w:val="32"/>
        </w:rPr>
      </w:pPr>
      <w:r w:rsidRPr="00FB0BCB">
        <w:rPr>
          <w:rFonts w:ascii="黑体" w:eastAsia="黑体" w:hAnsi="黑体" w:hint="eastAsia"/>
          <w:sz w:val="32"/>
          <w:szCs w:val="32"/>
        </w:rPr>
        <w:t>附件</w:t>
      </w:r>
    </w:p>
    <w:p w:rsidR="00174375" w:rsidRPr="0029633A" w:rsidRDefault="00174375" w:rsidP="00174375">
      <w:pPr>
        <w:rPr>
          <w:rFonts w:ascii="仿宋_GB2312" w:eastAsia="仿宋_GB2312" w:hAnsi="华文中宋" w:hint="eastAsia"/>
          <w:sz w:val="32"/>
          <w:szCs w:val="32"/>
        </w:rPr>
      </w:pPr>
    </w:p>
    <w:p w:rsidR="00174375" w:rsidRPr="00FB0BCB" w:rsidRDefault="00174375" w:rsidP="00174375">
      <w:pPr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bookmarkStart w:id="0" w:name="_GoBack"/>
      <w:r w:rsidRPr="00FB0BCB">
        <w:rPr>
          <w:rFonts w:ascii="方正小标宋简体" w:eastAsia="方正小标宋简体" w:hAnsi="华文中宋" w:hint="eastAsia"/>
          <w:sz w:val="44"/>
          <w:szCs w:val="44"/>
        </w:rPr>
        <w:t>餐饮具清洗消毒服务许可现场核查表</w:t>
      </w:r>
    </w:p>
    <w:bookmarkEnd w:id="0"/>
    <w:p w:rsidR="00174375" w:rsidRPr="00DF3DA8" w:rsidRDefault="00174375" w:rsidP="00174375">
      <w:pPr>
        <w:spacing w:line="360" w:lineRule="auto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174375" w:rsidRPr="00DF3DA8" w:rsidRDefault="00174375" w:rsidP="00174375">
      <w:pPr>
        <w:spacing w:line="360" w:lineRule="auto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174375" w:rsidRPr="00DF3DA8" w:rsidRDefault="00174375" w:rsidP="00174375">
      <w:pPr>
        <w:spacing w:line="360" w:lineRule="auto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174375" w:rsidRPr="00DF3DA8" w:rsidRDefault="00174375" w:rsidP="00174375">
      <w:pPr>
        <w:spacing w:line="360" w:lineRule="auto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174375" w:rsidRDefault="00174375" w:rsidP="00174375">
      <w:pPr>
        <w:spacing w:line="360" w:lineRule="auto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174375" w:rsidRPr="00DF3DA8" w:rsidRDefault="00174375" w:rsidP="00174375">
      <w:pPr>
        <w:spacing w:line="360" w:lineRule="auto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174375" w:rsidRPr="00FB0BCB" w:rsidRDefault="00174375" w:rsidP="00174375">
      <w:pPr>
        <w:spacing w:line="360" w:lineRule="auto"/>
        <w:ind w:firstLineChars="1300" w:firstLine="4160"/>
        <w:rPr>
          <w:rFonts w:ascii="仿宋_GB2312" w:eastAsia="仿宋_GB2312" w:hAnsi="宋体" w:hint="eastAsia"/>
          <w:sz w:val="32"/>
          <w:szCs w:val="32"/>
          <w:u w:val="single"/>
        </w:rPr>
      </w:pPr>
      <w:r w:rsidRPr="00FB0BCB">
        <w:rPr>
          <w:rFonts w:ascii="仿宋_GB2312" w:eastAsia="仿宋_GB2312" w:hAnsi="宋体" w:hint="eastAsia"/>
          <w:sz w:val="32"/>
          <w:szCs w:val="32"/>
        </w:rPr>
        <w:t>单位名称：</w:t>
      </w:r>
      <w:r w:rsidRPr="00FB0BCB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</w:t>
      </w:r>
    </w:p>
    <w:p w:rsidR="00174375" w:rsidRPr="00FB0BCB" w:rsidRDefault="00174375" w:rsidP="00174375">
      <w:pPr>
        <w:spacing w:line="360" w:lineRule="auto"/>
        <w:ind w:firstLineChars="1300" w:firstLine="4160"/>
        <w:rPr>
          <w:rFonts w:ascii="仿宋_GB2312" w:eastAsia="仿宋_GB2312" w:hAnsi="宋体" w:hint="eastAsia"/>
          <w:sz w:val="32"/>
          <w:szCs w:val="32"/>
          <w:u w:val="single"/>
        </w:rPr>
      </w:pPr>
      <w:r w:rsidRPr="00FB0BCB">
        <w:rPr>
          <w:rFonts w:ascii="仿宋_GB2312" w:eastAsia="仿宋_GB2312" w:hAnsi="宋体" w:hint="eastAsia"/>
          <w:sz w:val="32"/>
          <w:szCs w:val="32"/>
        </w:rPr>
        <w:t>地    址：</w:t>
      </w:r>
      <w:r w:rsidRPr="00FB0BCB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</w:t>
      </w:r>
    </w:p>
    <w:p w:rsidR="00174375" w:rsidRPr="00FB0BCB" w:rsidRDefault="00174375" w:rsidP="00174375">
      <w:pPr>
        <w:spacing w:line="360" w:lineRule="auto"/>
        <w:ind w:firstLineChars="1300" w:firstLine="4160"/>
        <w:rPr>
          <w:rFonts w:ascii="仿宋_GB2312" w:eastAsia="仿宋_GB2312" w:hAnsi="宋体" w:hint="eastAsia"/>
          <w:sz w:val="32"/>
          <w:szCs w:val="32"/>
          <w:u w:val="single"/>
        </w:rPr>
      </w:pPr>
      <w:r w:rsidRPr="00FB0BCB">
        <w:rPr>
          <w:rFonts w:ascii="仿宋_GB2312" w:eastAsia="仿宋_GB2312" w:hAnsi="宋体" w:hint="eastAsia"/>
          <w:sz w:val="32"/>
          <w:szCs w:val="32"/>
        </w:rPr>
        <w:t>核查日期：</w:t>
      </w:r>
      <w:r w:rsidRPr="00FB0BCB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</w:t>
      </w:r>
    </w:p>
    <w:p w:rsidR="00174375" w:rsidRDefault="00174375" w:rsidP="00174375">
      <w:pPr>
        <w:spacing w:line="360" w:lineRule="auto"/>
        <w:rPr>
          <w:rFonts w:ascii="黑体" w:eastAsia="黑体" w:hAnsi="宋体" w:hint="eastAsia"/>
          <w:sz w:val="32"/>
          <w:szCs w:val="32"/>
          <w:u w:val="single"/>
        </w:rPr>
      </w:pPr>
    </w:p>
    <w:p w:rsidR="00174375" w:rsidRDefault="00174375" w:rsidP="00174375">
      <w:pPr>
        <w:adjustRightInd w:val="0"/>
        <w:snapToGrid w:val="0"/>
        <w:spacing w:line="280" w:lineRule="exact"/>
        <w:jc w:val="center"/>
        <w:rPr>
          <w:rFonts w:ascii="仿宋_GB2312" w:eastAsia="仿宋_GB2312" w:hAnsi="宋体"/>
          <w:sz w:val="24"/>
        </w:rPr>
        <w:sectPr w:rsidR="00174375" w:rsidSect="003E5C1C">
          <w:pgSz w:w="16838" w:h="11906" w:orient="landscape" w:code="9"/>
          <w:pgMar w:top="1701" w:right="1418" w:bottom="1418" w:left="1701" w:header="851" w:footer="992" w:gutter="0"/>
          <w:pgNumType w:fmt="numberInDash"/>
          <w:cols w:space="425"/>
          <w:docGrid w:type="linesAndChars" w:linePitch="312"/>
        </w:sect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8820"/>
        <w:gridCol w:w="540"/>
        <w:gridCol w:w="1260"/>
        <w:gridCol w:w="720"/>
        <w:gridCol w:w="1015"/>
      </w:tblGrid>
      <w:tr w:rsidR="00174375" w:rsidRPr="00FB0BCB" w:rsidTr="0066640C">
        <w:trPr>
          <w:cantSplit/>
          <w:trHeight w:val="370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lastRenderedPageBreak/>
              <w:t>核查内容</w:t>
            </w:r>
          </w:p>
        </w:tc>
        <w:tc>
          <w:tcPr>
            <w:tcW w:w="8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核查和评价方法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编号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审查项目的重要性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结果判定</w:t>
            </w:r>
          </w:p>
        </w:tc>
      </w:tr>
      <w:tr w:rsidR="00174375" w:rsidRPr="00FB0BCB" w:rsidTr="0066640C">
        <w:trPr>
          <w:cantSplit/>
          <w:trHeight w:val="221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符合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不符合</w:t>
            </w:r>
          </w:p>
        </w:tc>
      </w:tr>
      <w:tr w:rsidR="00174375" w:rsidRPr="00FB0BCB" w:rsidTr="0066640C">
        <w:trPr>
          <w:cantSplit/>
          <w:trHeight w:val="567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1.选址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选择地势干燥、有给排水条件和电力供应的地区，不得设在易受到污染的区域。距离粪坑、污水池、暴露垃圾场（站）、旱厕等污染源</w:t>
            </w:r>
            <w:smartTag w:uri="urn:schemas-microsoft-com:office:smarttags" w:element="chmetcnv">
              <w:smartTagPr>
                <w:attr w:name="UnitName" w:val="m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B0BCB">
                <w:rPr>
                  <w:rFonts w:ascii="仿宋_GB2312" w:eastAsia="仿宋_GB2312" w:hAnsi="宋体" w:hint="eastAsia"/>
                  <w:sz w:val="24"/>
                </w:rPr>
                <w:t>25m</w:t>
              </w:r>
            </w:smartTag>
            <w:r w:rsidRPr="00FB0BCB">
              <w:rPr>
                <w:rFonts w:ascii="仿宋_GB2312" w:eastAsia="仿宋_GB2312" w:hAnsi="宋体" w:hint="eastAsia"/>
                <w:sz w:val="24"/>
              </w:rPr>
              <w:t>以上，并设置在粉尘、有害气体、放射性物质和其他扩散性污染源的影响范围之外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567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2.场所设置、布局、分隔、面积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餐饮具清洗消毒、包装、存放均应在室内进行，房屋结构坚固耐用、易于保持清洁。并按清洗消毒流程独立设置餐具回收和粗洗间、清洗消毒间、包装间、成品间和包材库、原材料库。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567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pStyle w:val="a3"/>
              <w:numPr>
                <w:ilvl w:val="4"/>
                <w:numId w:val="0"/>
              </w:num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  <w:szCs w:val="24"/>
              </w:rPr>
              <w:t>厂房应独立专用，合理布局，划分生产区和生活区。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567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pStyle w:val="a3"/>
              <w:numPr>
                <w:ilvl w:val="4"/>
                <w:numId w:val="0"/>
              </w:num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  <w:szCs w:val="24"/>
              </w:rPr>
              <w:t>生产厂房的高度应能满足工艺、卫生要求，以及设备安装、维护、保养的需要，厂房净高度为</w:t>
            </w:r>
            <w:smartTag w:uri="urn:schemas-microsoft-com:office:smarttags" w:element="chmetcnv">
              <w:smartTagPr>
                <w:attr w:name="UnitName" w:val="米"/>
                <w:attr w:name="SourceValue" w:val="3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B0BCB">
                <w:rPr>
                  <w:rFonts w:ascii="仿宋_GB2312" w:eastAsia="仿宋_GB2312" w:hAnsi="宋体" w:hint="eastAsia"/>
                  <w:sz w:val="24"/>
                  <w:szCs w:val="24"/>
                </w:rPr>
                <w:t>3.5米</w:t>
              </w:r>
            </w:smartTag>
            <w:r w:rsidRPr="00FB0BCB">
              <w:rPr>
                <w:rFonts w:ascii="仿宋_GB2312" w:eastAsia="仿宋_GB2312" w:hAnsi="宋体" w:hint="eastAsia"/>
                <w:sz w:val="24"/>
                <w:szCs w:val="24"/>
              </w:rPr>
              <w:t>以上。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567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pStyle w:val="a3"/>
              <w:numPr>
                <w:ilvl w:val="4"/>
                <w:numId w:val="0"/>
              </w:num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  <w:szCs w:val="24"/>
              </w:rPr>
              <w:t>生产车间面积应满足餐饮具消毒的需要和卫生要求，清洗消毒间、包装间总使用面积不应小于</w:t>
            </w:r>
            <w:smartTag w:uri="urn:schemas-microsoft-com:office:smarttags" w:element="chmetcnv">
              <w:smartTagPr>
                <w:attr w:name="UnitName" w:val="m2"/>
                <w:attr w:name="SourceValue" w:val="3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B0BCB">
                <w:rPr>
                  <w:rFonts w:ascii="仿宋_GB2312" w:eastAsia="仿宋_GB2312" w:hAnsi="宋体" w:hint="eastAsia"/>
                  <w:sz w:val="24"/>
                  <w:szCs w:val="24"/>
                </w:rPr>
                <w:t>300m2</w:t>
              </w:r>
            </w:smartTag>
            <w:r w:rsidRPr="00FB0BCB">
              <w:rPr>
                <w:rFonts w:ascii="仿宋_GB2312" w:eastAsia="仿宋_GB2312" w:hAnsi="宋体" w:hint="eastAsia"/>
                <w:sz w:val="24"/>
                <w:szCs w:val="24"/>
              </w:rPr>
              <w:t>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624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3.地面、排水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pStyle w:val="a2"/>
              <w:adjustRightInd w:val="0"/>
              <w:snapToGrid w:val="0"/>
              <w:spacing w:line="280" w:lineRule="exact"/>
              <w:ind w:left="0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  <w:szCs w:val="24"/>
              </w:rPr>
              <w:t xml:space="preserve">生产车间地面应使用不渗水、不吸水、无毒、防滑材料(如耐酸砖、水磨石、混凝土等)铺砌，应有适当坡度，在地面最低点设置地漏，以保证不积水。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397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pStyle w:val="a3"/>
              <w:numPr>
                <w:ilvl w:val="4"/>
                <w:numId w:val="0"/>
              </w:num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  <w:szCs w:val="24"/>
              </w:rPr>
              <w:t>地面应平整、无裂隙、略高于道路路面，便于清扫和消毒。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397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pStyle w:val="a3"/>
              <w:numPr>
                <w:ilvl w:val="4"/>
                <w:numId w:val="0"/>
              </w:num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  <w:szCs w:val="24"/>
              </w:rPr>
              <w:t>给排水系统应能适应生产需要；设施应合理有效，经常保持畅通，有防止污染水源和鼠类、昆虫通过排水管道潜入车间的有效措施；生产用水必须达到生活饮用水卫生标准GB 5749的要求。污水排放必须符合国家规定的标准和北京市地方标准。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624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4.墙壁、门窗和通道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生产车间墙壁要用浅色、不吸水、不渗水、无毒材料覆涂，并用白瓷砖或其他防腐蚀材料装修，高度至屋顶（天花板）。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397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墙壁表面应平整光滑，其四壁和地面交界面要呈漫弯形，防止污垢积存，并便于清洗。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624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门、窗、天窗要严密不变形，防护门要能两面开，设置位置适当，并便于卫生防护设施的设置。车间、门、窗应有防蚊蝇、防尘设施，纱门应便于拆下洗刷。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397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通道要宽畅，便于运输和卫生防护设施的设置。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397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lastRenderedPageBreak/>
              <w:t>5.天花板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int="eastAsia"/>
                <w:sz w:val="24"/>
              </w:rPr>
              <w:t>屋顶或天花板应选用不吸水、表面光洁、耐腐蚀、耐温、浅色材料覆涂或装修，要有适当的坡度，在结构上减少凝结水滴落，防止虫害和霉菌孳生，以便于洗刷、消毒。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397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6.洗手设施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洗手设施应分别设置在车间进口处和车间内适当的地点，应采用非手动式。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567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7．清洗消毒工作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应制订有效的清洗及消毒方法和制度，以确保所有场所、设备和工用具容器的清洁卫生，防止污染产品。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282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生产设备、工具、容器、场地等在使用前后均应彻底清洗、消毒。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397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使用清洗剂和消毒剂时，应采取适当措施，防止人身、产品受到污染。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397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包装车间使用前应进行空气和物体表面的消毒。使用紫外线灯消毒的，应在无人工作时开启30min以上，并做好使用记录。30W紫外线灯辐照强度应大于等于70uW/cm2，凡低于70uW/cm2的应及时更换灯管。辐射强度每半年测定一次，并有记录。使用中的紫外线灯管表面必须保持清洁，每两周用酒精棉球擦拭一次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397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专用周转箱清洗消毒应设置专用清洗、消毒池，其材质宜使用不锈钢，消毒池数量或容量应与使用的数量应相适应。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418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8.</w:t>
            </w:r>
            <w:bookmarkStart w:id="1" w:name="_Toc216678547"/>
            <w:r w:rsidRPr="00FB0BCB">
              <w:rPr>
                <w:rFonts w:ascii="仿宋_GB2312" w:eastAsia="仿宋_GB2312" w:hint="eastAsia"/>
                <w:sz w:val="24"/>
              </w:rPr>
              <w:t xml:space="preserve"> 生产过程的卫生要求</w:t>
            </w:r>
            <w:bookmarkEnd w:id="1"/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按生产工艺的先后次序和产品特点， 清洗消毒程序应按照餐饮具回收、去残渣、浸泡、清洗、筛检、高温消毒、感官检验、包装、贮存、产品检测、供应的流程合理布局，清洗消毒流程应为单一流向，防止前后工序相互交叉污染，并应防止在清洗、消毒、存放、操作中产生交叉污染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397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各项工艺操作应在良好的情况下进行。防止有毒有害物的污染。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567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餐饮具应采用清洗与消毒为一体的机械设备，筷子应采用筷子自动包装设备，设备应有相应的卫生许可证（或卫生许可批件），严格执行一洗、二清、三消毒、四包装制度。清洗温度不低于</w:t>
            </w:r>
            <w:smartTag w:uri="urn:schemas-microsoft-com:office:smarttags" w:element="chmetcnv">
              <w:smartTagPr>
                <w:attr w:name="UnitName" w:val="℃"/>
                <w:attr w:name="SourceValue" w:val="8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B0BCB">
                <w:rPr>
                  <w:rFonts w:ascii="仿宋_GB2312" w:eastAsia="仿宋_GB2312" w:hAnsi="宋体" w:hint="eastAsia"/>
                  <w:sz w:val="24"/>
                </w:rPr>
                <w:t>85℃</w:t>
              </w:r>
            </w:smartTag>
            <w:r w:rsidRPr="00FB0BCB">
              <w:rPr>
                <w:rFonts w:ascii="仿宋_GB2312" w:eastAsia="仿宋_GB2312" w:hAnsi="宋体" w:hint="eastAsia"/>
                <w:sz w:val="24"/>
              </w:rPr>
              <w:t>，消毒烘干（或风干）温度不低于</w:t>
            </w:r>
            <w:smartTag w:uri="urn:schemas-microsoft-com:office:smarttags" w:element="chmetcnv">
              <w:smartTagPr>
                <w:attr w:name="UnitName" w:val="℃"/>
                <w:attr w:name="SourceValue" w:val="1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B0BCB">
                <w:rPr>
                  <w:rFonts w:ascii="仿宋_GB2312" w:eastAsia="仿宋_GB2312" w:hAnsi="宋体" w:hint="eastAsia"/>
                  <w:sz w:val="24"/>
                </w:rPr>
                <w:t>120℃</w:t>
              </w:r>
            </w:smartTag>
            <w:r w:rsidRPr="00FB0BCB">
              <w:rPr>
                <w:rFonts w:ascii="仿宋_GB2312" w:eastAsia="仿宋_GB2312" w:hAnsi="宋体" w:hint="eastAsia"/>
                <w:sz w:val="24"/>
              </w:rPr>
              <w:t>，时间不低于2分钟。已消毒和未消毒的餐饮具和筷子应分开存放，并在贮存设施上应有明显标记。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397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生产设备、工具、容器、场地等在使用前后均应彻底清洗、清毒。维修、检查设备时，不得污染产品。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379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9.通风设施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车间、库房应有良好通风。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397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生产车间必须采用机械通风，管道进风口要距地面</w:t>
            </w:r>
            <w:smartTag w:uri="urn:schemas-microsoft-com:office:smarttags" w:element="chmetcnv">
              <w:smartTagPr>
                <w:attr w:name="UnitName" w:val="m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B0BCB">
                <w:rPr>
                  <w:rFonts w:ascii="仿宋_GB2312" w:eastAsia="仿宋_GB2312" w:hAnsi="宋体" w:hint="eastAsia"/>
                  <w:sz w:val="24"/>
                </w:rPr>
                <w:t>2m</w:t>
              </w:r>
            </w:smartTag>
            <w:r w:rsidRPr="00FB0BCB">
              <w:rPr>
                <w:rFonts w:ascii="仿宋_GB2312" w:eastAsia="仿宋_GB2312" w:hAnsi="宋体" w:hint="eastAsia"/>
                <w:sz w:val="24"/>
              </w:rPr>
              <w:t>以上，并远离污染源和排风口，开口处应设防护罩。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397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lastRenderedPageBreak/>
              <w:t>10.采光照明设施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车间或工作地应有充足的自然采光或人工照明。车间采光系数不应低于标准Ⅳ级；检验场所工作面混合照度不应低于540lx；加工场所工作面不应低于220lx；其他场所一般不应低于110lx。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397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位于工作台上方的照明设备应加防护罩。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397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11.废弃物暂存设施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废弃物应及时从生产车间运出，按照卫生要求，废弃物则收集于污物设施内，及时运出厂区处理。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463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使用的运输工具和容器应经常清洗、消毒，保持清洁卫生。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397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12.贮存场所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经检验合格包装的产品应在专用周转箱中存放，贮存于成品库，其容量应与生产能力相适应。按品种、批次分类存放，防止相互混杂。成品库不得贮存有毒、有害物品或其他易腐、易燃、易挥发品。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397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产品码放时，与地面，墙壁应有一定距离，便于通风。要留出通道，便于人员、车辆通行。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397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要有防鼠、防虫等设施，定期清扫、消毒，保持卫生。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397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13.包装要求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产品包装应在专间内进行，应有独立包装，消毒后的餐饮具应采用热收缩膜机械封装，防止异物带入产品。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397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使用的包装容器和材料，符合国家卫生标准。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397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在餐饮具独立包装上标注餐饮具清洗消毒企业名称、生产地址、联系电话、消毒日期及保质期限等内容样式。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395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餐饮具独立包装中不得加入餐巾纸、手套等附带物。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397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14.更衣室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pacing w:val="-4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更衣室应设在车间入口处，内设洗手和更衣设施。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397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15.厕所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生产车间的厕所应设置在车间外侧，并一律为水冲式，备有洗手设施和排臭装置，其出入口不得正对车间门，要避开通道;其排污管道应与车间排水管道分设。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567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设置坑式厕所时，应距生产车间</w:t>
            </w:r>
            <w:smartTag w:uri="urn:schemas-microsoft-com:office:smarttags" w:element="chmetcnv">
              <w:smartTagPr>
                <w:attr w:name="UnitName" w:val="m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B0BCB">
                <w:rPr>
                  <w:rFonts w:ascii="仿宋_GB2312" w:eastAsia="仿宋_GB2312" w:hAnsi="宋体" w:hint="eastAsia"/>
                  <w:sz w:val="24"/>
                </w:rPr>
                <w:t>25m</w:t>
              </w:r>
            </w:smartTag>
            <w:r w:rsidRPr="00FB0BCB">
              <w:rPr>
                <w:rFonts w:ascii="仿宋_GB2312" w:eastAsia="仿宋_GB2312" w:hAnsi="宋体" w:hint="eastAsia"/>
                <w:sz w:val="24"/>
              </w:rPr>
              <w:t>以上，并应便于清扫、保洁，还应设置防蚊、防蝇设施。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327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 w:rsidRPr="00FB0BCB">
              <w:rPr>
                <w:rFonts w:ascii="仿宋_GB2312" w:eastAsia="仿宋_GB2312" w:hAnsi="宋体" w:hint="eastAsia"/>
                <w:sz w:val="24"/>
              </w:rPr>
              <w:t>16.运输设备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bookmarkStart w:id="2" w:name="_Toc216678553"/>
            <w:r w:rsidRPr="00FB0BCB">
              <w:rPr>
                <w:rFonts w:ascii="仿宋_GB2312" w:eastAsia="仿宋_GB2312" w:hAnsi="宋体" w:hint="eastAsia"/>
                <w:sz w:val="24"/>
              </w:rPr>
              <w:t>运输车辆应密闭符合卫生要求，不得与有毒有害物品混装、混运，运输已消毒餐饮具前应对车辆进行清洗消毒。</w:t>
            </w:r>
            <w:bookmarkEnd w:id="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FB0BCB">
              <w:rPr>
                <w:rFonts w:ascii="仿宋_GB2312" w:eastAsia="仿宋_GB2312" w:hAnsi="宋体" w:hint="eastAsia"/>
                <w:bCs/>
                <w:sz w:val="24"/>
              </w:rPr>
              <w:t>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74375" w:rsidRPr="00FB0BCB" w:rsidTr="0066640C">
        <w:trPr>
          <w:cantSplit/>
          <w:trHeight w:val="327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49779F" w:rsidRDefault="00174375" w:rsidP="0066640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49779F">
              <w:rPr>
                <w:rFonts w:ascii="宋体" w:hAnsi="宋体" w:hint="eastAsia"/>
                <w:szCs w:val="21"/>
              </w:rPr>
              <w:lastRenderedPageBreak/>
              <w:t>17.检验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49779F" w:rsidRDefault="00174375" w:rsidP="0066640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bookmarkStart w:id="3" w:name="_Toc216678541"/>
            <w:r w:rsidRPr="0049779F">
              <w:rPr>
                <w:rFonts w:ascii="宋体" w:hAnsi="宋体" w:hint="eastAsia"/>
                <w:szCs w:val="21"/>
              </w:rPr>
              <w:t>应设立与生产能力相适应的卫生检验室，并配备经专业培训检验人员，从事卫生检验工作。</w:t>
            </w:r>
            <w:bookmarkEnd w:id="3"/>
            <w:r w:rsidRPr="0049779F">
              <w:rPr>
                <w:rFonts w:ascii="宋体" w:hAnsi="宋体" w:hint="eastAsia"/>
              </w:rPr>
              <w:t>其中：①实验室2间，面积共35—</w:t>
            </w:r>
            <w:smartTag w:uri="urn:schemas-microsoft-com:office:smarttags" w:element="chmetcnv">
              <w:smartTagPr>
                <w:attr w:name="UnitName" w:val="平方米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9779F">
                <w:rPr>
                  <w:rFonts w:ascii="宋体" w:hAnsi="宋体" w:hint="eastAsia"/>
                </w:rPr>
                <w:t>50平方米</w:t>
              </w:r>
            </w:smartTag>
            <w:r w:rsidRPr="0049779F">
              <w:rPr>
                <w:rFonts w:ascii="宋体" w:hAnsi="宋体" w:hint="eastAsia"/>
              </w:rPr>
              <w:t xml:space="preserve">。包括实验准备间：15- </w:t>
            </w:r>
            <w:smartTag w:uri="urn:schemas-microsoft-com:office:smarttags" w:element="chmetcnv">
              <w:smartTagPr>
                <w:attr w:name="UnitName" w:val="平方米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9779F">
                <w:rPr>
                  <w:rFonts w:ascii="宋体" w:hAnsi="宋体" w:hint="eastAsia"/>
                </w:rPr>
                <w:t>20平方米</w:t>
              </w:r>
            </w:smartTag>
            <w:r w:rsidRPr="0049779F">
              <w:rPr>
                <w:rFonts w:ascii="宋体" w:hAnsi="宋体" w:hint="eastAsia"/>
              </w:rPr>
              <w:t>，带洗刷用水池 2个 （感应式水龙头）。</w:t>
            </w:r>
            <w:r w:rsidRPr="0049779F">
              <w:rPr>
                <w:rFonts w:ascii="宋体" w:hAnsi="宋体" w:hint="eastAsia"/>
                <w:szCs w:val="21"/>
              </w:rPr>
              <w:t xml:space="preserve">无菌室：20- </w:t>
            </w:r>
            <w:smartTag w:uri="urn:schemas-microsoft-com:office:smarttags" w:element="chmetcnv">
              <w:smartTagPr>
                <w:attr w:name="UnitName" w:val="平方米"/>
                <w:attr w:name="SourceValue" w:val="30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49779F">
                <w:rPr>
                  <w:rFonts w:ascii="宋体" w:hAnsi="宋体" w:hint="eastAsia"/>
                  <w:szCs w:val="21"/>
                </w:rPr>
                <w:t>30 平方米</w:t>
              </w:r>
            </w:smartTag>
            <w:r w:rsidRPr="0049779F">
              <w:rPr>
                <w:rFonts w:ascii="宋体" w:hAnsi="宋体" w:hint="eastAsia"/>
                <w:szCs w:val="21"/>
              </w:rPr>
              <w:t xml:space="preserve"> 带8—</w:t>
            </w:r>
            <w:smartTag w:uri="urn:schemas-microsoft-com:office:smarttags" w:element="chmetcnv">
              <w:smartTagPr>
                <w:attr w:name="UnitName" w:val="平方米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9779F">
                <w:rPr>
                  <w:rFonts w:ascii="宋体" w:hAnsi="宋体" w:hint="eastAsia"/>
                  <w:szCs w:val="21"/>
                </w:rPr>
                <w:t>10平方米</w:t>
              </w:r>
            </w:smartTag>
            <w:r w:rsidRPr="0049779F">
              <w:rPr>
                <w:rFonts w:ascii="宋体" w:hAnsi="宋体" w:hint="eastAsia"/>
                <w:szCs w:val="21"/>
              </w:rPr>
              <w:t>缓冲间（带紫外灯），入口处带洗手池（感应式水龙头）。②</w:t>
            </w:r>
            <w:r w:rsidRPr="0049779F">
              <w:rPr>
                <w:rFonts w:ascii="宋体" w:hAnsi="宋体" w:hint="eastAsia"/>
              </w:rPr>
              <w:t>实验室的工作区域应与办公室区域明显分开，应采用单方向工作流程，避免交叉污染。实验室内环境的温度、湿度、照度、噪声和洁净度等应符合工作要求。③样品检验应在洁净区域</w:t>
            </w:r>
            <w:r w:rsidRPr="0049779F">
              <w:rPr>
                <w:rFonts w:ascii="宋体" w:hAnsi="宋体" w:cs="Arial" w:hint="eastAsia"/>
              </w:rPr>
              <w:t>[</w:t>
            </w:r>
            <w:r w:rsidRPr="0049779F">
              <w:rPr>
                <w:rFonts w:ascii="宋体" w:hAnsi="宋体" w:hint="eastAsia"/>
              </w:rPr>
              <w:t>包括超净工作台或洁净实验室</w:t>
            </w:r>
            <w:r w:rsidRPr="0049779F">
              <w:rPr>
                <w:rFonts w:ascii="宋体" w:hAnsi="宋体" w:cs="Arial" w:hint="eastAsia"/>
              </w:rPr>
              <w:t>]</w:t>
            </w:r>
            <w:r w:rsidRPr="0049779F">
              <w:rPr>
                <w:rFonts w:ascii="宋体" w:hAnsi="宋体" w:hint="eastAsia"/>
              </w:rPr>
              <w:t>进行，洁净区域应有明显的标示。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49779F" w:rsidRDefault="00174375" w:rsidP="0066640C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49779F">
              <w:rPr>
                <w:rFonts w:ascii="宋体" w:hAnsi="宋体" w:hint="eastAsia"/>
                <w:bCs/>
                <w:szCs w:val="21"/>
              </w:rP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49779F" w:rsidRDefault="00174375" w:rsidP="0066640C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49779F">
              <w:rPr>
                <w:rFonts w:ascii="宋体" w:hAnsi="宋体" w:hint="eastAsia"/>
                <w:bCs/>
                <w:szCs w:val="21"/>
              </w:rPr>
              <w:t>***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49779F" w:rsidRDefault="00174375" w:rsidP="0066640C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49779F" w:rsidRDefault="00174375" w:rsidP="0066640C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74375" w:rsidRPr="00FB0BCB" w:rsidTr="0066640C">
        <w:trPr>
          <w:cantSplit/>
          <w:trHeight w:val="327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49779F" w:rsidRDefault="00174375" w:rsidP="0066640C">
            <w:pPr>
              <w:widowControl/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49779F" w:rsidRDefault="00174375" w:rsidP="0066640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bookmarkStart w:id="4" w:name="_Toc216678542"/>
            <w:r w:rsidRPr="0049779F">
              <w:rPr>
                <w:rFonts w:ascii="宋体" w:hAnsi="宋体" w:hint="eastAsia"/>
                <w:szCs w:val="21"/>
              </w:rPr>
              <w:t>卫生检验室应具备所需的仪器、设备，并有健全的检验制度和检验方法。</w:t>
            </w:r>
            <w:bookmarkEnd w:id="4"/>
            <w:r w:rsidRPr="0049779F">
              <w:rPr>
                <w:rFonts w:ascii="宋体" w:hAnsi="宋体" w:hint="eastAsia"/>
              </w:rPr>
              <w:t>其中：①实验室仪器设备：实验室操作台、试剂药品柜、冰箱（2—</w:t>
            </w:r>
            <w:smartTag w:uri="urn:schemas-microsoft-com:office:smarttags" w:element="chmetcnv">
              <w:smartTagPr>
                <w:attr w:name="UnitName" w:val="℃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9779F">
                <w:rPr>
                  <w:rFonts w:ascii="宋体" w:hAnsi="宋体" w:hint="eastAsia"/>
                </w:rPr>
                <w:t>5℃</w:t>
              </w:r>
            </w:smartTag>
            <w:r w:rsidRPr="0049779F">
              <w:rPr>
                <w:rFonts w:ascii="宋体" w:hAnsi="宋体" w:hint="eastAsia"/>
              </w:rPr>
              <w:t>）、恒温培养箱、超净工作台 （双人水平层流）、手提式高压锅、干热灭菌器（小型）、普通光学显微镜、1mL</w:t>
            </w:r>
            <w:r w:rsidRPr="0049779F">
              <w:rPr>
                <w:rFonts w:ascii="宋体" w:hAnsi="宋体" w:hint="eastAsia"/>
                <w:szCs w:val="21"/>
              </w:rPr>
              <w:t>玻璃吸管、</w:t>
            </w:r>
            <w:r w:rsidRPr="0049779F">
              <w:rPr>
                <w:rFonts w:ascii="宋体" w:hAnsi="宋体" w:hint="eastAsia"/>
              </w:rPr>
              <w:t>接种环（针）、酒精灯、镊子、剪刀、药匙、消毒棉球、硅胶（棉）塞、微量移液器、吸管、吸球、试管、 广口瓶、量筒等。②检测项目：餐具大肠菌群 （发酵法、纸片法）。检测依据：食饮具消毒卫生标准（GB14934—94）。③试剂耗材：大肠杆菌标准菌株、灭菌滤纸片、餐具大肠菌群检测纸片、</w:t>
            </w:r>
            <w:r w:rsidRPr="0049779F">
              <w:rPr>
                <w:rFonts w:ascii="宋体" w:hAnsi="宋体" w:cs="宋体" w:hint="eastAsia"/>
                <w:bCs/>
                <w:kern w:val="0"/>
              </w:rPr>
              <w:t>月桂基硫酸盐胰</w:t>
            </w:r>
            <w:r w:rsidRPr="0049779F">
              <w:rPr>
                <w:rFonts w:ascii="宋体" w:hAnsi="宋体" w:cs="Dotum" w:hint="eastAsia"/>
                <w:bCs/>
                <w:kern w:val="0"/>
              </w:rPr>
              <w:t>蛋白</w:t>
            </w:r>
            <w:r w:rsidRPr="0049779F">
              <w:rPr>
                <w:rFonts w:ascii="宋体" w:hAnsi="宋体" w:cs="宋体" w:hint="eastAsia"/>
                <w:bCs/>
                <w:kern w:val="0"/>
              </w:rPr>
              <w:t>胨</w:t>
            </w:r>
            <w:r w:rsidRPr="0049779F">
              <w:rPr>
                <w:rFonts w:ascii="宋体" w:hAnsi="宋体" w:cs="Dotum" w:hint="eastAsia"/>
                <w:bCs/>
                <w:kern w:val="0"/>
              </w:rPr>
              <w:t>（</w:t>
            </w:r>
            <w:r w:rsidRPr="0049779F">
              <w:rPr>
                <w:rFonts w:ascii="宋体" w:hAnsi="宋体" w:cs="宋体" w:hint="eastAsia"/>
                <w:bCs/>
                <w:kern w:val="0"/>
              </w:rPr>
              <w:t>LST）肉汤、</w:t>
            </w:r>
            <w:r w:rsidRPr="0049779F">
              <w:rPr>
                <w:rFonts w:ascii="宋体" w:hAnsi="宋体" w:hint="eastAsia"/>
              </w:rPr>
              <w:t>无菌生理盐水、革兰氏染色液。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49779F" w:rsidRDefault="00174375" w:rsidP="0066640C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49779F">
              <w:rPr>
                <w:rFonts w:ascii="宋体" w:hAnsi="宋体" w:hint="eastAsia"/>
                <w:bCs/>
                <w:szCs w:val="21"/>
              </w:rP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49779F" w:rsidRDefault="00174375" w:rsidP="0066640C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49779F">
              <w:rPr>
                <w:rFonts w:ascii="宋体" w:hAnsi="宋体" w:hint="eastAsia"/>
                <w:bCs/>
                <w:szCs w:val="21"/>
              </w:rPr>
              <w:t>***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49779F" w:rsidRDefault="00174375" w:rsidP="0066640C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49779F" w:rsidRDefault="00174375" w:rsidP="0066640C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174375" w:rsidRDefault="00174375" w:rsidP="00174375">
      <w:pPr>
        <w:spacing w:line="120" w:lineRule="atLeast"/>
        <w:rPr>
          <w:rFonts w:ascii="仿宋_GB2312" w:eastAsia="仿宋_GB2312" w:hAnsi="宋体" w:hint="eastAsia"/>
          <w:sz w:val="24"/>
        </w:rPr>
      </w:pPr>
    </w:p>
    <w:p w:rsidR="00174375" w:rsidRPr="00FB0BCB" w:rsidRDefault="00174375" w:rsidP="00174375">
      <w:pPr>
        <w:spacing w:line="120" w:lineRule="atLeast"/>
        <w:rPr>
          <w:rFonts w:ascii="仿宋_GB2312" w:eastAsia="仿宋_GB2312" w:hAnsi="宋体" w:hint="eastAsia"/>
          <w:sz w:val="24"/>
        </w:rPr>
      </w:pPr>
      <w:r w:rsidRPr="00FB0BCB">
        <w:rPr>
          <w:rFonts w:ascii="仿宋_GB2312" w:eastAsia="仿宋_GB2312" w:hAnsi="宋体" w:hint="eastAsia"/>
          <w:sz w:val="24"/>
        </w:rPr>
        <w:t>注：1.本表共42项，其中关键项19项，重点项17项，一般项6项.</w:t>
      </w:r>
      <w:r w:rsidRPr="00FB0BCB">
        <w:rPr>
          <w:rFonts w:ascii="仿宋_GB2312" w:eastAsia="仿宋_GB2312" w:hAnsi="宋体" w:hint="eastAsia"/>
          <w:bCs/>
          <w:sz w:val="24"/>
        </w:rPr>
        <w:t xml:space="preserve"> ***表示关键项，**表示重点项，*表示一般项。</w:t>
      </w:r>
    </w:p>
    <w:p w:rsidR="00174375" w:rsidRDefault="00174375" w:rsidP="00174375">
      <w:pPr>
        <w:spacing w:line="120" w:lineRule="atLeast"/>
        <w:ind w:firstLineChars="200" w:firstLine="480"/>
        <w:rPr>
          <w:rFonts w:ascii="仿宋_GB2312" w:eastAsia="仿宋_GB2312" w:hAnsi="宋体" w:hint="eastAsia"/>
          <w:sz w:val="24"/>
        </w:rPr>
      </w:pPr>
      <w:r w:rsidRPr="00FB0BCB">
        <w:rPr>
          <w:rFonts w:ascii="仿宋_GB2312" w:eastAsia="仿宋_GB2312" w:hAnsi="宋体" w:hint="eastAsia"/>
          <w:sz w:val="24"/>
        </w:rPr>
        <w:t>2.项目中的内容如部分不符合，应作为不符合。</w:t>
      </w:r>
    </w:p>
    <w:p w:rsidR="00174375" w:rsidRPr="00FB0BCB" w:rsidRDefault="00174375" w:rsidP="00174375">
      <w:pPr>
        <w:spacing w:line="120" w:lineRule="atLeast"/>
        <w:ind w:firstLineChars="200" w:firstLine="480"/>
        <w:rPr>
          <w:rFonts w:ascii="黑体" w:eastAsia="黑体" w:hAnsi="宋体" w:hint="eastAsia"/>
          <w:sz w:val="24"/>
        </w:rPr>
        <w:sectPr w:rsidR="00174375" w:rsidRPr="00FB0BCB" w:rsidSect="003E5C1C">
          <w:pgSz w:w="16838" w:h="11906" w:orient="landscape" w:code="9"/>
          <w:pgMar w:top="1701" w:right="1418" w:bottom="1134" w:left="1701" w:header="851" w:footer="992" w:gutter="0"/>
          <w:pgNumType w:fmt="numberInDash"/>
          <w:cols w:space="425"/>
          <w:docGrid w:type="lines" w:linePitch="312"/>
        </w:sectPr>
      </w:pPr>
    </w:p>
    <w:p w:rsidR="00174375" w:rsidRPr="00FB0BCB" w:rsidRDefault="00174375" w:rsidP="00174375">
      <w:pPr>
        <w:spacing w:afterLines="100" w:after="312"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FB0BCB">
        <w:rPr>
          <w:rFonts w:ascii="方正小标宋简体" w:eastAsia="方正小标宋简体" w:hAnsi="宋体" w:hint="eastAsia"/>
          <w:sz w:val="44"/>
          <w:szCs w:val="44"/>
        </w:rPr>
        <w:lastRenderedPageBreak/>
        <w:t>核查项目汇总表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1855"/>
        <w:gridCol w:w="1855"/>
        <w:gridCol w:w="1856"/>
      </w:tblGrid>
      <w:tr w:rsidR="00174375" w:rsidRPr="00FB0BCB" w:rsidTr="0066640C">
        <w:trPr>
          <w:trHeight w:val="541"/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B0BCB">
              <w:rPr>
                <w:rFonts w:ascii="仿宋_GB2312" w:eastAsia="仿宋_GB2312" w:hAnsi="宋体" w:hint="eastAsia"/>
                <w:sz w:val="32"/>
                <w:szCs w:val="32"/>
              </w:rPr>
              <w:t>关键项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B0BCB">
              <w:rPr>
                <w:rFonts w:ascii="仿宋_GB2312" w:eastAsia="仿宋_GB2312" w:hAnsi="宋体" w:hint="eastAsia"/>
                <w:sz w:val="32"/>
                <w:szCs w:val="32"/>
              </w:rPr>
              <w:t>重点项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B0BCB">
              <w:rPr>
                <w:rFonts w:ascii="仿宋_GB2312" w:eastAsia="仿宋_GB2312" w:hAnsi="宋体" w:hint="eastAsia"/>
                <w:sz w:val="32"/>
                <w:szCs w:val="32"/>
              </w:rPr>
              <w:t>一般项</w:t>
            </w:r>
          </w:p>
        </w:tc>
      </w:tr>
      <w:tr w:rsidR="00174375" w:rsidRPr="00FB0BCB" w:rsidTr="0066640C">
        <w:trPr>
          <w:trHeight w:val="672"/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B0BCB">
              <w:rPr>
                <w:rFonts w:ascii="仿宋_GB2312" w:eastAsia="仿宋_GB2312" w:hAnsi="宋体" w:hint="eastAsia"/>
                <w:sz w:val="32"/>
                <w:szCs w:val="32"/>
              </w:rPr>
              <w:t>不符合项目（项）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</w:tbl>
    <w:p w:rsidR="00174375" w:rsidRPr="00FB0BCB" w:rsidRDefault="00174375" w:rsidP="00174375">
      <w:pPr>
        <w:spacing w:beforeLines="100" w:before="312" w:line="560" w:lineRule="exact"/>
        <w:rPr>
          <w:rFonts w:ascii="仿宋_GB2312" w:eastAsia="仿宋_GB2312" w:hint="eastAsia"/>
          <w:sz w:val="32"/>
          <w:szCs w:val="32"/>
        </w:rPr>
      </w:pPr>
      <w:r w:rsidRPr="00FB0BCB">
        <w:rPr>
          <w:rFonts w:ascii="仿宋_GB2312" w:eastAsia="仿宋_GB2312" w:hint="eastAsia"/>
          <w:sz w:val="32"/>
          <w:szCs w:val="32"/>
        </w:rPr>
        <w:t>核查人签名：              申请人阅后签名：</w:t>
      </w:r>
    </w:p>
    <w:p w:rsidR="00174375" w:rsidRPr="00FB0BCB" w:rsidRDefault="00174375" w:rsidP="0017437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FB0BCB">
        <w:rPr>
          <w:rFonts w:ascii="仿宋_GB2312" w:eastAsia="仿宋_GB2312" w:hint="eastAsia"/>
          <w:sz w:val="32"/>
          <w:szCs w:val="32"/>
        </w:rPr>
        <w:t>日期：                    日期：</w:t>
      </w:r>
    </w:p>
    <w:p w:rsidR="00174375" w:rsidRDefault="00174375" w:rsidP="00174375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174375" w:rsidRPr="00FB0BCB" w:rsidRDefault="00174375" w:rsidP="00174375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174375" w:rsidRDefault="00174375" w:rsidP="00174375">
      <w:pPr>
        <w:spacing w:afterLines="100" w:after="312"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FB0BCB">
        <w:rPr>
          <w:rFonts w:ascii="方正小标宋简体" w:eastAsia="方正小标宋简体" w:hAnsi="宋体" w:hint="eastAsia"/>
          <w:sz w:val="44"/>
          <w:szCs w:val="44"/>
        </w:rPr>
        <w:t>现场核查结果判定准则</w:t>
      </w:r>
    </w:p>
    <w:p w:rsidR="00174375" w:rsidRPr="00FB0BCB" w:rsidRDefault="00174375" w:rsidP="00174375">
      <w:pPr>
        <w:spacing w:afterLines="100" w:after="312" w:line="560" w:lineRule="exact"/>
        <w:rPr>
          <w:rFonts w:ascii="方正小标宋简体" w:eastAsia="方正小标宋简体" w:hAnsi="宋体" w:hint="eastAsia"/>
          <w:sz w:val="32"/>
          <w:szCs w:val="32"/>
        </w:rPr>
      </w:pPr>
    </w:p>
    <w:p w:rsidR="00174375" w:rsidRPr="00FB0BCB" w:rsidRDefault="00174375" w:rsidP="0017437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FB0BCB">
        <w:rPr>
          <w:rFonts w:ascii="仿宋_GB2312" w:eastAsia="仿宋_GB2312" w:hAnsi="宋体" w:hint="eastAsia"/>
          <w:sz w:val="32"/>
          <w:szCs w:val="32"/>
        </w:rPr>
        <w:t>表中项目按其对食品安全的影响程度，分为关键项、重点项和一般项，其中关键项是对食品安全有重大影响的项目，重点项是对食品安全有较大影响的项目，其余项目为一般项。符合下表的，可判定为现场核查基本符合：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4"/>
        <w:gridCol w:w="5614"/>
      </w:tblGrid>
      <w:tr w:rsidR="00174375" w:rsidRPr="00FB0BCB" w:rsidTr="0066640C">
        <w:trPr>
          <w:trHeight w:val="406"/>
          <w:jc w:val="center"/>
        </w:trPr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375" w:rsidRPr="00FB0BCB" w:rsidRDefault="00174375" w:rsidP="0066640C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B0BCB">
              <w:rPr>
                <w:rFonts w:ascii="仿宋_GB2312" w:eastAsia="仿宋_GB2312" w:hAnsi="宋体" w:hint="eastAsia"/>
                <w:sz w:val="32"/>
                <w:szCs w:val="32"/>
              </w:rPr>
              <w:t>关键项允许不符合数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B0BCB">
              <w:rPr>
                <w:rFonts w:ascii="仿宋_GB2312" w:eastAsia="仿宋_GB2312" w:hAnsi="宋体" w:hint="eastAsia"/>
                <w:sz w:val="32"/>
                <w:szCs w:val="32"/>
              </w:rPr>
              <w:t>重点项和一般项允许不符合数</w:t>
            </w:r>
          </w:p>
        </w:tc>
      </w:tr>
      <w:tr w:rsidR="00174375" w:rsidRPr="00FB0BCB" w:rsidTr="0066640C">
        <w:trPr>
          <w:jc w:val="center"/>
        </w:trPr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74375" w:rsidRPr="00FB0BCB" w:rsidRDefault="00174375" w:rsidP="0066640C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B0BCB">
              <w:rPr>
                <w:rFonts w:ascii="仿宋_GB2312" w:eastAsia="仿宋_GB2312" w:hAnsi="宋体" w:hint="eastAsia"/>
                <w:sz w:val="32"/>
                <w:szCs w:val="32"/>
              </w:rPr>
              <w:t>0项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74375" w:rsidRPr="00FB0BCB" w:rsidRDefault="00174375" w:rsidP="0066640C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B0BCB">
              <w:rPr>
                <w:rFonts w:ascii="仿宋_GB2312" w:eastAsia="仿宋_GB2312" w:hAnsi="宋体" w:hint="eastAsia"/>
                <w:sz w:val="32"/>
                <w:szCs w:val="32"/>
              </w:rPr>
              <w:t>重点项和一般项不符合总数≤11项</w:t>
            </w:r>
          </w:p>
          <w:p w:rsidR="00174375" w:rsidRPr="00FB0BCB" w:rsidRDefault="00174375" w:rsidP="0066640C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B0BCB">
              <w:rPr>
                <w:rFonts w:ascii="仿宋_GB2312" w:eastAsia="仿宋_GB2312" w:hAnsi="宋体" w:hint="eastAsia"/>
                <w:sz w:val="32"/>
                <w:szCs w:val="32"/>
              </w:rPr>
              <w:t>其中重点项不符合数≤3项</w:t>
            </w:r>
          </w:p>
        </w:tc>
      </w:tr>
    </w:tbl>
    <w:p w:rsidR="00174375" w:rsidRPr="00FB0BCB" w:rsidRDefault="00174375" w:rsidP="00174375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F03DC9" w:rsidRPr="00174375" w:rsidRDefault="00174375"/>
    <w:sectPr w:rsidR="00F03DC9" w:rsidRPr="00174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EA2025"/>
    <w:multiLevelType w:val="multilevel"/>
    <w:tmpl w:val="C0668A84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0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1"/>
      <w:suff w:val="nothing"/>
      <w:lvlText w:val="%1%2.%3　"/>
      <w:lvlJc w:val="left"/>
      <w:pPr>
        <w:ind w:left="126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%2.%3.%4　"/>
      <w:lvlJc w:val="left"/>
      <w:pPr>
        <w:ind w:left="72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5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375"/>
    <w:rsid w:val="00174375"/>
    <w:rsid w:val="00637332"/>
    <w:rsid w:val="009D5B97"/>
    <w:rsid w:val="00A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5CA12-3E75-4326-8E16-156F1A06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1743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Char">
    <w:name w:val=" Char"/>
    <w:basedOn w:val="a6"/>
    <w:rsid w:val="00174375"/>
    <w:rPr>
      <w:rFonts w:ascii="宋体" w:hAnsi="宋体" w:cs="Courier New"/>
      <w:sz w:val="32"/>
      <w:szCs w:val="32"/>
    </w:rPr>
  </w:style>
  <w:style w:type="paragraph" w:customStyle="1" w:styleId="a">
    <w:name w:val="前言、引言标题"/>
    <w:next w:val="a6"/>
    <w:rsid w:val="00174375"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0">
    <w:name w:val="章标题"/>
    <w:next w:val="a6"/>
    <w:rsid w:val="00174375"/>
    <w:pPr>
      <w:numPr>
        <w:ilvl w:val="1"/>
        <w:numId w:val="1"/>
      </w:numPr>
      <w:spacing w:beforeLines="50" w:before="50" w:afterLines="50" w:after="5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一级条标题"/>
    <w:next w:val="a6"/>
    <w:rsid w:val="00174375"/>
    <w:pPr>
      <w:numPr>
        <w:ilvl w:val="2"/>
        <w:numId w:val="1"/>
      </w:numPr>
      <w:outlineLvl w:val="2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a2">
    <w:name w:val="二级条标题"/>
    <w:basedOn w:val="a1"/>
    <w:next w:val="a6"/>
    <w:rsid w:val="00174375"/>
    <w:pPr>
      <w:numPr>
        <w:ilvl w:val="3"/>
      </w:numPr>
      <w:outlineLvl w:val="3"/>
    </w:pPr>
  </w:style>
  <w:style w:type="paragraph" w:customStyle="1" w:styleId="a3">
    <w:name w:val="三级条标题"/>
    <w:basedOn w:val="a2"/>
    <w:next w:val="a6"/>
    <w:rsid w:val="00174375"/>
    <w:pPr>
      <w:numPr>
        <w:ilvl w:val="4"/>
      </w:numPr>
      <w:outlineLvl w:val="4"/>
    </w:pPr>
  </w:style>
  <w:style w:type="paragraph" w:customStyle="1" w:styleId="a4">
    <w:name w:val="四级条标题"/>
    <w:basedOn w:val="a3"/>
    <w:next w:val="a6"/>
    <w:rsid w:val="00174375"/>
    <w:pPr>
      <w:numPr>
        <w:ilvl w:val="5"/>
      </w:numPr>
      <w:outlineLvl w:val="5"/>
    </w:pPr>
  </w:style>
  <w:style w:type="paragraph" w:customStyle="1" w:styleId="a5">
    <w:name w:val="五级条标题"/>
    <w:basedOn w:val="a6"/>
    <w:rsid w:val="00174375"/>
    <w:pPr>
      <w:numPr>
        <w:ilvl w:val="6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LongLong</dc:creator>
  <cp:keywords/>
  <dc:description/>
  <cp:lastModifiedBy>LongLong</cp:lastModifiedBy>
  <cp:revision>1</cp:revision>
  <dcterms:created xsi:type="dcterms:W3CDTF">2016-11-29T09:33:00Z</dcterms:created>
  <dcterms:modified xsi:type="dcterms:W3CDTF">2016-11-29T09:33:00Z</dcterms:modified>
</cp:coreProperties>
</file>