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84" w:rsidRPr="00BE45D9" w:rsidRDefault="001E0484" w:rsidP="001E0484">
      <w:pPr>
        <w:adjustRightInd w:val="0"/>
        <w:snapToGrid w:val="0"/>
        <w:jc w:val="left"/>
        <w:rPr>
          <w:rFonts w:ascii="黑体" w:eastAsia="黑体" w:hAnsi="黑体" w:hint="eastAsia"/>
          <w:kern w:val="0"/>
          <w:sz w:val="32"/>
          <w:szCs w:val="32"/>
        </w:rPr>
      </w:pPr>
      <w:r w:rsidRPr="00BE45D9"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1E0484" w:rsidRDefault="001E0484" w:rsidP="001E0484">
      <w:pPr>
        <w:adjustRightInd w:val="0"/>
        <w:snapToGrid w:val="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1E0484" w:rsidRPr="009570BD" w:rsidRDefault="001E0484" w:rsidP="001E0484">
      <w:pPr>
        <w:adjustRightInd w:val="0"/>
        <w:snapToGrid w:val="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1E0484" w:rsidRPr="00BE45D9" w:rsidRDefault="001E0484" w:rsidP="001E0484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BE45D9">
        <w:rPr>
          <w:rFonts w:ascii="方正小标宋简体" w:eastAsia="方正小标宋简体" w:hint="eastAsia"/>
          <w:sz w:val="44"/>
          <w:szCs w:val="44"/>
        </w:rPr>
        <w:t>夜市餐饮服务许可现场核查表</w:t>
      </w:r>
    </w:p>
    <w:bookmarkEnd w:id="0"/>
    <w:p w:rsidR="001E0484" w:rsidRDefault="001E0484" w:rsidP="001E0484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1E0484" w:rsidRDefault="001E0484" w:rsidP="001E0484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1E0484" w:rsidRDefault="001E0484" w:rsidP="001E0484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1E0484" w:rsidRPr="00DF3DA8" w:rsidRDefault="001E0484" w:rsidP="001E0484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1E0484" w:rsidRPr="00DF3DA8" w:rsidRDefault="001E0484" w:rsidP="001E0484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1E0484" w:rsidRPr="00BE45D9" w:rsidRDefault="001E0484" w:rsidP="001E0484">
      <w:pPr>
        <w:spacing w:line="360" w:lineRule="auto"/>
        <w:ind w:firstLineChars="1400" w:firstLine="4480"/>
        <w:rPr>
          <w:rFonts w:ascii="仿宋_GB2312" w:eastAsia="仿宋_GB2312" w:hAnsi="宋体" w:hint="eastAsia"/>
          <w:sz w:val="32"/>
          <w:szCs w:val="32"/>
          <w:u w:val="single"/>
        </w:rPr>
      </w:pPr>
      <w:r w:rsidRPr="00BE45D9">
        <w:rPr>
          <w:rFonts w:ascii="仿宋_GB2312" w:eastAsia="仿宋_GB2312" w:hAnsi="宋体" w:hint="eastAsia"/>
          <w:sz w:val="32"/>
          <w:szCs w:val="32"/>
        </w:rPr>
        <w:t>单位名称：</w:t>
      </w:r>
      <w:r w:rsidRPr="00BE45D9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</w:p>
    <w:p w:rsidR="001E0484" w:rsidRPr="00BE45D9" w:rsidRDefault="001E0484" w:rsidP="001E0484">
      <w:pPr>
        <w:spacing w:line="360" w:lineRule="auto"/>
        <w:ind w:firstLineChars="1400" w:firstLine="4480"/>
        <w:rPr>
          <w:rFonts w:ascii="仿宋_GB2312" w:eastAsia="仿宋_GB2312" w:hAnsi="宋体" w:hint="eastAsia"/>
          <w:sz w:val="32"/>
          <w:szCs w:val="32"/>
          <w:u w:val="single"/>
        </w:rPr>
      </w:pPr>
      <w:r w:rsidRPr="00BE45D9">
        <w:rPr>
          <w:rFonts w:ascii="仿宋_GB2312" w:eastAsia="仿宋_GB2312" w:hAnsi="宋体" w:hint="eastAsia"/>
          <w:sz w:val="32"/>
          <w:szCs w:val="32"/>
        </w:rPr>
        <w:t>地    址：</w:t>
      </w:r>
      <w:r w:rsidRPr="00BE45D9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</w:p>
    <w:p w:rsidR="001E0484" w:rsidRPr="00BE45D9" w:rsidRDefault="001E0484" w:rsidP="001E0484">
      <w:pPr>
        <w:spacing w:line="360" w:lineRule="auto"/>
        <w:ind w:firstLineChars="1400" w:firstLine="4480"/>
        <w:rPr>
          <w:rFonts w:ascii="仿宋_GB2312" w:eastAsia="仿宋_GB2312" w:hAnsi="宋体" w:hint="eastAsia"/>
          <w:sz w:val="32"/>
          <w:szCs w:val="32"/>
          <w:u w:val="single"/>
        </w:rPr>
      </w:pPr>
      <w:r w:rsidRPr="00BE45D9">
        <w:rPr>
          <w:rFonts w:ascii="仿宋_GB2312" w:eastAsia="仿宋_GB2312" w:hAnsi="宋体" w:hint="eastAsia"/>
          <w:sz w:val="32"/>
          <w:szCs w:val="32"/>
        </w:rPr>
        <w:t>核查日期：</w:t>
      </w:r>
      <w:r w:rsidRPr="00BE45D9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</w:p>
    <w:p w:rsidR="001E0484" w:rsidRDefault="001E0484" w:rsidP="001E0484">
      <w:pPr>
        <w:spacing w:line="360" w:lineRule="auto"/>
        <w:rPr>
          <w:rFonts w:ascii="黑体" w:eastAsia="黑体" w:hAnsi="宋体" w:hint="eastAsia"/>
          <w:sz w:val="32"/>
          <w:szCs w:val="32"/>
          <w:u w:val="single"/>
        </w:rPr>
      </w:pPr>
    </w:p>
    <w:p w:rsidR="001E0484" w:rsidRDefault="001E0484" w:rsidP="001E0484">
      <w:pPr>
        <w:spacing w:line="360" w:lineRule="auto"/>
        <w:rPr>
          <w:rFonts w:ascii="黑体" w:eastAsia="黑体" w:hAnsi="宋体" w:hint="eastAsia"/>
          <w:sz w:val="32"/>
          <w:szCs w:val="32"/>
          <w:u w:val="single"/>
        </w:rPr>
      </w:pP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7533"/>
        <w:gridCol w:w="540"/>
        <w:gridCol w:w="1080"/>
        <w:gridCol w:w="720"/>
        <w:gridCol w:w="1061"/>
        <w:gridCol w:w="1350"/>
      </w:tblGrid>
      <w:tr w:rsidR="001E0484" w:rsidRPr="00BE45D9" w:rsidTr="0066640C">
        <w:trPr>
          <w:cantSplit/>
          <w:trHeight w:val="438"/>
          <w:tblHeader/>
          <w:jc w:val="center"/>
        </w:trPr>
        <w:tc>
          <w:tcPr>
            <w:tcW w:w="1887" w:type="dxa"/>
            <w:vMerge w:val="restart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lastRenderedPageBreak/>
              <w:t>核查内容</w:t>
            </w:r>
          </w:p>
        </w:tc>
        <w:tc>
          <w:tcPr>
            <w:tcW w:w="7533" w:type="dxa"/>
            <w:vMerge w:val="restart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核查和评价方法</w:t>
            </w:r>
          </w:p>
        </w:tc>
        <w:tc>
          <w:tcPr>
            <w:tcW w:w="540" w:type="dxa"/>
            <w:vMerge w:val="restart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编</w:t>
            </w:r>
          </w:p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  <w:tc>
          <w:tcPr>
            <w:tcW w:w="1080" w:type="dxa"/>
            <w:vMerge w:val="restart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核查项目的重要性</w:t>
            </w:r>
          </w:p>
        </w:tc>
        <w:tc>
          <w:tcPr>
            <w:tcW w:w="3131" w:type="dxa"/>
            <w:gridSpan w:val="3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结果判定</w:t>
            </w:r>
          </w:p>
        </w:tc>
      </w:tr>
      <w:tr w:rsidR="001E0484" w:rsidRPr="00BE45D9" w:rsidTr="0066640C">
        <w:trPr>
          <w:cantSplit/>
          <w:trHeight w:val="522"/>
          <w:tblHeader/>
          <w:jc w:val="center"/>
        </w:trPr>
        <w:tc>
          <w:tcPr>
            <w:tcW w:w="1887" w:type="dxa"/>
            <w:vMerge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33" w:type="dxa"/>
            <w:vMerge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符合</w:t>
            </w:r>
          </w:p>
        </w:tc>
        <w:tc>
          <w:tcPr>
            <w:tcW w:w="1061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不符合</w:t>
            </w:r>
          </w:p>
        </w:tc>
        <w:tc>
          <w:tcPr>
            <w:tcW w:w="135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不适用（合理缺项）</w:t>
            </w:r>
          </w:p>
        </w:tc>
      </w:tr>
      <w:tr w:rsidR="001E0484" w:rsidRPr="00BE45D9" w:rsidTr="0066640C">
        <w:trPr>
          <w:cantSplit/>
          <w:trHeight w:val="583"/>
          <w:jc w:val="center"/>
        </w:trPr>
        <w:tc>
          <w:tcPr>
            <w:tcW w:w="1887" w:type="dxa"/>
            <w:tcBorders>
              <w:top w:val="single" w:sz="4" w:space="0" w:color="FF0000"/>
            </w:tcBorders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1.选址</w:t>
            </w:r>
          </w:p>
        </w:tc>
        <w:tc>
          <w:tcPr>
            <w:tcW w:w="7533" w:type="dxa"/>
            <w:tcBorders>
              <w:top w:val="single" w:sz="4" w:space="0" w:color="FF0000"/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选择地势干燥、有给排水条件和电力供应的地区，不得设在易受到污染的区域。距离粪坑、污水池、暴露垃圾场（站）、旱厕等污染源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m"/>
              </w:smartTagPr>
              <w:r w:rsidRPr="00BE45D9">
                <w:rPr>
                  <w:rFonts w:ascii="仿宋_GB2312" w:eastAsia="仿宋_GB2312" w:hAnsi="宋体" w:hint="eastAsia"/>
                  <w:sz w:val="24"/>
                </w:rPr>
                <w:t>25m</w:t>
              </w:r>
            </w:smartTag>
            <w:r w:rsidRPr="00BE45D9">
              <w:rPr>
                <w:rFonts w:ascii="仿宋_GB2312" w:eastAsia="仿宋_GB2312" w:hAnsi="宋体" w:hint="eastAsia"/>
                <w:sz w:val="24"/>
              </w:rPr>
              <w:t>以上，距离中小学校和托幼机构门口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BE45D9">
                <w:rPr>
                  <w:rFonts w:ascii="仿宋_GB2312" w:eastAsia="仿宋_GB2312" w:hAnsi="宋体" w:hint="eastAsia"/>
                  <w:sz w:val="24"/>
                </w:rPr>
                <w:t>200米</w:t>
              </w:r>
            </w:smartTag>
            <w:r w:rsidRPr="00BE45D9">
              <w:rPr>
                <w:rFonts w:ascii="仿宋_GB2312" w:eastAsia="仿宋_GB2312" w:hAnsi="宋体" w:hint="eastAsia"/>
                <w:sz w:val="24"/>
              </w:rPr>
              <w:t>及以上；并设置在粉尘、有害气体、放射性物质和其他扩散性污染源的影响范围之外。</w:t>
            </w:r>
          </w:p>
        </w:tc>
        <w:tc>
          <w:tcPr>
            <w:tcW w:w="540" w:type="dxa"/>
            <w:tcBorders>
              <w:top w:val="single" w:sz="4" w:space="0" w:color="FF0000"/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FF0000"/>
            </w:tcBorders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***</w:t>
            </w:r>
          </w:p>
        </w:tc>
        <w:tc>
          <w:tcPr>
            <w:tcW w:w="720" w:type="dxa"/>
            <w:tcBorders>
              <w:top w:val="single" w:sz="4" w:space="0" w:color="FF0000"/>
            </w:tcBorders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FF0000"/>
            </w:tcBorders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FF0000"/>
            </w:tcBorders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E0484" w:rsidRPr="00BE45D9" w:rsidTr="0066640C">
        <w:trPr>
          <w:cantSplit/>
          <w:trHeight w:val="325"/>
          <w:jc w:val="center"/>
        </w:trPr>
        <w:tc>
          <w:tcPr>
            <w:tcW w:w="1887" w:type="dxa"/>
            <w:vMerge w:val="restart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2.场所设置、布局、分隔和面积</w:t>
            </w:r>
          </w:p>
        </w:tc>
        <w:tc>
          <w:tcPr>
            <w:tcW w:w="7533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经营区域不小于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6"/>
                <w:attr w:name="UnitName" w:val="m2"/>
              </w:smartTagPr>
              <w:r w:rsidRPr="00BE45D9">
                <w:rPr>
                  <w:rFonts w:ascii="仿宋_GB2312" w:eastAsia="仿宋_GB2312" w:hAnsi="宋体" w:hint="eastAsia"/>
                  <w:sz w:val="24"/>
                </w:rPr>
                <w:t>6 m</w:t>
              </w:r>
              <w:r w:rsidRPr="00BE45D9">
                <w:rPr>
                  <w:rFonts w:ascii="仿宋_GB2312" w:eastAsia="仿宋_GB2312" w:hAnsi="宋体" w:hint="eastAsia"/>
                  <w:sz w:val="24"/>
                  <w:vertAlign w:val="superscript"/>
                </w:rPr>
                <w:t>2</w:t>
              </w:r>
            </w:smartTag>
            <w:r w:rsidRPr="00BE45D9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***</w:t>
            </w:r>
          </w:p>
        </w:tc>
        <w:tc>
          <w:tcPr>
            <w:tcW w:w="72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1E0484" w:rsidRPr="00BE45D9" w:rsidTr="0066640C">
        <w:trPr>
          <w:cantSplit/>
          <w:trHeight w:val="113"/>
          <w:jc w:val="center"/>
        </w:trPr>
        <w:tc>
          <w:tcPr>
            <w:tcW w:w="1887" w:type="dxa"/>
            <w:vMerge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33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设防蝇、防雨设施。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*</w:t>
            </w:r>
          </w:p>
        </w:tc>
        <w:tc>
          <w:tcPr>
            <w:tcW w:w="72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E0484" w:rsidRPr="00BE45D9" w:rsidTr="0066640C">
        <w:trPr>
          <w:cantSplit/>
          <w:trHeight w:val="284"/>
          <w:jc w:val="center"/>
        </w:trPr>
        <w:tc>
          <w:tcPr>
            <w:tcW w:w="1887" w:type="dxa"/>
            <w:vMerge w:val="restart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BE45D9">
              <w:rPr>
                <w:rFonts w:ascii="仿宋_GB2312" w:eastAsia="仿宋_GB2312" w:hAnsi="宋体" w:hint="eastAsia"/>
                <w:kern w:val="0"/>
                <w:sz w:val="24"/>
              </w:rPr>
              <w:t>3.入场经营者的经营场地</w:t>
            </w:r>
          </w:p>
        </w:tc>
        <w:tc>
          <w:tcPr>
            <w:tcW w:w="7533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设置上下水设施。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**</w:t>
            </w:r>
          </w:p>
        </w:tc>
        <w:tc>
          <w:tcPr>
            <w:tcW w:w="72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1E0484" w:rsidRPr="00BE45D9" w:rsidTr="0066640C">
        <w:trPr>
          <w:cantSplit/>
          <w:trHeight w:val="284"/>
          <w:jc w:val="center"/>
        </w:trPr>
        <w:tc>
          <w:tcPr>
            <w:tcW w:w="1887" w:type="dxa"/>
            <w:vMerge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7533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配备与经营品种及数量相适应的制售工具、容器、专用冷藏冷冻设施。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**</w:t>
            </w:r>
          </w:p>
        </w:tc>
        <w:tc>
          <w:tcPr>
            <w:tcW w:w="72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1E0484" w:rsidRPr="00BE45D9" w:rsidTr="0066640C">
        <w:trPr>
          <w:cantSplit/>
          <w:trHeight w:val="70"/>
          <w:jc w:val="center"/>
        </w:trPr>
        <w:tc>
          <w:tcPr>
            <w:tcW w:w="1887" w:type="dxa"/>
            <w:vMerge w:val="restart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BE45D9">
              <w:rPr>
                <w:rFonts w:ascii="仿宋_GB2312" w:eastAsia="仿宋_GB2312" w:hAnsi="宋体" w:hint="eastAsia"/>
                <w:kern w:val="0"/>
                <w:sz w:val="24"/>
              </w:rPr>
              <w:t>4.餐用具清洗消毒保洁设施</w:t>
            </w:r>
          </w:p>
        </w:tc>
        <w:tc>
          <w:tcPr>
            <w:tcW w:w="7533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pStyle w:val="2"/>
              <w:snapToGrid w:val="0"/>
              <w:spacing w:after="0" w:line="340" w:lineRule="exact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设置集中消毒间，各类清洗消毒方式设专用水池的最低数量：采用化学消毒的，至少设有3个专用水池。采用人工清洗热力消毒的，可设置２个专用水池。各类水池以明显标识标明其用途。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pStyle w:val="2"/>
              <w:snapToGrid w:val="0"/>
              <w:spacing w:after="0"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***</w:t>
            </w:r>
          </w:p>
        </w:tc>
        <w:tc>
          <w:tcPr>
            <w:tcW w:w="720" w:type="dxa"/>
            <w:vAlign w:val="center"/>
          </w:tcPr>
          <w:p w:rsidR="001E0484" w:rsidRPr="00BE45D9" w:rsidRDefault="001E0484" w:rsidP="0066640C">
            <w:pPr>
              <w:pStyle w:val="2"/>
              <w:snapToGrid w:val="0"/>
              <w:spacing w:after="0"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1E0484" w:rsidRPr="00BE45D9" w:rsidRDefault="001E0484" w:rsidP="0066640C">
            <w:pPr>
              <w:pStyle w:val="2"/>
              <w:snapToGrid w:val="0"/>
              <w:spacing w:after="0"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1E0484" w:rsidRPr="00BE45D9" w:rsidTr="0066640C">
        <w:trPr>
          <w:cantSplit/>
          <w:trHeight w:val="215"/>
          <w:jc w:val="center"/>
        </w:trPr>
        <w:tc>
          <w:tcPr>
            <w:tcW w:w="1887" w:type="dxa"/>
            <w:vMerge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7533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pStyle w:val="publishtime"/>
              <w:adjustRightInd w:val="0"/>
              <w:snapToGrid w:val="0"/>
              <w:spacing w:before="0" w:beforeAutospacing="0" w:after="0" w:afterAutospacing="0" w:line="340" w:lineRule="exact"/>
              <w:jc w:val="both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BE45D9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配备能正常运转的清洗、消毒设备设施。设专供存放消毒后餐用具的保洁设施，标记明显，结构密闭并易于清洁。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pStyle w:val="2"/>
              <w:snapToGrid w:val="0"/>
              <w:spacing w:after="0"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***</w:t>
            </w:r>
          </w:p>
        </w:tc>
        <w:tc>
          <w:tcPr>
            <w:tcW w:w="720" w:type="dxa"/>
            <w:vAlign w:val="center"/>
          </w:tcPr>
          <w:p w:rsidR="001E0484" w:rsidRPr="00BE45D9" w:rsidRDefault="001E0484" w:rsidP="0066640C">
            <w:pPr>
              <w:pStyle w:val="publishtime"/>
              <w:adjustRightInd w:val="0"/>
              <w:snapToGrid w:val="0"/>
              <w:spacing w:before="0" w:beforeAutospacing="0" w:after="0" w:afterAutospacing="0" w:line="340" w:lineRule="exact"/>
              <w:jc w:val="both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1E0484" w:rsidRPr="00BE45D9" w:rsidRDefault="001E0484" w:rsidP="0066640C">
            <w:pPr>
              <w:pStyle w:val="publishtime"/>
              <w:adjustRightInd w:val="0"/>
              <w:snapToGrid w:val="0"/>
              <w:spacing w:before="0" w:beforeAutospacing="0" w:after="0" w:afterAutospacing="0" w:line="340" w:lineRule="exact"/>
              <w:jc w:val="both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1E0484" w:rsidRPr="00BE45D9" w:rsidTr="0066640C">
        <w:trPr>
          <w:cantSplit/>
          <w:trHeight w:val="215"/>
          <w:jc w:val="center"/>
        </w:trPr>
        <w:tc>
          <w:tcPr>
            <w:tcW w:w="1887" w:type="dxa"/>
            <w:vMerge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7533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pStyle w:val="publishtime"/>
              <w:adjustRightInd w:val="0"/>
              <w:snapToGrid w:val="0"/>
              <w:spacing w:before="0" w:beforeAutospacing="0" w:after="0" w:afterAutospacing="0" w:line="340" w:lineRule="exact"/>
              <w:jc w:val="both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BE45D9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使用一次性餐饮具。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pStyle w:val="2"/>
              <w:snapToGrid w:val="0"/>
              <w:spacing w:after="0"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***</w:t>
            </w:r>
          </w:p>
        </w:tc>
        <w:tc>
          <w:tcPr>
            <w:tcW w:w="720" w:type="dxa"/>
            <w:vAlign w:val="center"/>
          </w:tcPr>
          <w:p w:rsidR="001E0484" w:rsidRPr="00BE45D9" w:rsidRDefault="001E0484" w:rsidP="0066640C">
            <w:pPr>
              <w:pStyle w:val="publishtime"/>
              <w:adjustRightInd w:val="0"/>
              <w:snapToGrid w:val="0"/>
              <w:spacing w:before="0" w:beforeAutospacing="0" w:after="0" w:afterAutospacing="0" w:line="340" w:lineRule="exact"/>
              <w:jc w:val="both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1E0484" w:rsidRPr="00BE45D9" w:rsidRDefault="001E0484" w:rsidP="0066640C">
            <w:pPr>
              <w:pStyle w:val="publishtime"/>
              <w:adjustRightInd w:val="0"/>
              <w:snapToGrid w:val="0"/>
              <w:spacing w:before="0" w:beforeAutospacing="0" w:after="0" w:afterAutospacing="0" w:line="340" w:lineRule="exact"/>
              <w:jc w:val="both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1E0484" w:rsidRPr="00BE45D9" w:rsidTr="0066640C">
        <w:trPr>
          <w:cantSplit/>
          <w:trHeight w:val="215"/>
          <w:jc w:val="center"/>
        </w:trPr>
        <w:tc>
          <w:tcPr>
            <w:tcW w:w="1887" w:type="dxa"/>
            <w:vMerge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7533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pStyle w:val="publishtime"/>
              <w:adjustRightInd w:val="0"/>
              <w:snapToGrid w:val="0"/>
              <w:spacing w:before="0" w:beforeAutospacing="0" w:after="0" w:afterAutospacing="0" w:line="340" w:lineRule="exact"/>
              <w:jc w:val="both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BE45D9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使用集中清洗消毒的餐饮具。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pStyle w:val="2"/>
              <w:snapToGrid w:val="0"/>
              <w:spacing w:after="0"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***</w:t>
            </w:r>
          </w:p>
        </w:tc>
        <w:tc>
          <w:tcPr>
            <w:tcW w:w="720" w:type="dxa"/>
            <w:vAlign w:val="center"/>
          </w:tcPr>
          <w:p w:rsidR="001E0484" w:rsidRPr="00BE45D9" w:rsidRDefault="001E0484" w:rsidP="0066640C">
            <w:pPr>
              <w:pStyle w:val="publishtime"/>
              <w:adjustRightInd w:val="0"/>
              <w:snapToGrid w:val="0"/>
              <w:spacing w:before="0" w:beforeAutospacing="0" w:after="0" w:afterAutospacing="0" w:line="340" w:lineRule="exact"/>
              <w:jc w:val="both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1E0484" w:rsidRPr="00BE45D9" w:rsidRDefault="001E0484" w:rsidP="0066640C">
            <w:pPr>
              <w:pStyle w:val="publishtime"/>
              <w:adjustRightInd w:val="0"/>
              <w:snapToGrid w:val="0"/>
              <w:spacing w:before="0" w:beforeAutospacing="0" w:after="0" w:afterAutospacing="0" w:line="340" w:lineRule="exact"/>
              <w:jc w:val="both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1E0484" w:rsidRPr="00BE45D9" w:rsidTr="0066640C">
        <w:trPr>
          <w:cantSplit/>
          <w:trHeight w:val="340"/>
          <w:jc w:val="center"/>
        </w:trPr>
        <w:tc>
          <w:tcPr>
            <w:tcW w:w="1887" w:type="dxa"/>
            <w:vMerge w:val="restart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BE45D9">
              <w:rPr>
                <w:rFonts w:ascii="仿宋_GB2312" w:eastAsia="仿宋_GB2312" w:hAnsi="宋体" w:hint="eastAsia"/>
                <w:kern w:val="0"/>
                <w:sz w:val="24"/>
              </w:rPr>
              <w:t>5.设备、工具和容器</w:t>
            </w:r>
          </w:p>
        </w:tc>
        <w:tc>
          <w:tcPr>
            <w:tcW w:w="7533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ind w:hanging="1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接触食品的设备、工具、容器、包装材料等符合食品安全标准或要求。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pStyle w:val="2"/>
              <w:snapToGrid w:val="0"/>
              <w:spacing w:after="0"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**</w:t>
            </w:r>
          </w:p>
        </w:tc>
        <w:tc>
          <w:tcPr>
            <w:tcW w:w="72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1E0484" w:rsidRPr="00BE45D9" w:rsidTr="0066640C">
        <w:trPr>
          <w:cantSplit/>
          <w:trHeight w:val="150"/>
          <w:jc w:val="center"/>
        </w:trPr>
        <w:tc>
          <w:tcPr>
            <w:tcW w:w="1887" w:type="dxa"/>
            <w:vMerge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7533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ind w:hanging="1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接触食品的设备、工具和容器易于清洗消毒。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pStyle w:val="2"/>
              <w:snapToGrid w:val="0"/>
              <w:spacing w:after="0"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  <w:tc>
          <w:tcPr>
            <w:tcW w:w="108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*</w:t>
            </w:r>
          </w:p>
        </w:tc>
        <w:tc>
          <w:tcPr>
            <w:tcW w:w="72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1E0484" w:rsidRPr="00BE45D9" w:rsidTr="0066640C">
        <w:trPr>
          <w:cantSplit/>
          <w:trHeight w:val="286"/>
          <w:jc w:val="center"/>
        </w:trPr>
        <w:tc>
          <w:tcPr>
            <w:tcW w:w="1887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BE45D9">
              <w:rPr>
                <w:rFonts w:ascii="仿宋_GB2312" w:eastAsia="仿宋_GB2312" w:hAnsi="宋体" w:hint="eastAsia"/>
                <w:kern w:val="0"/>
                <w:sz w:val="24"/>
              </w:rPr>
              <w:t>6.废弃物暂存设施</w:t>
            </w:r>
          </w:p>
        </w:tc>
        <w:tc>
          <w:tcPr>
            <w:tcW w:w="7533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食品处理区设存放废弃物或垃圾的容器。废弃物容器与加工用容器有明显区分的标识。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pStyle w:val="2"/>
              <w:snapToGrid w:val="0"/>
              <w:spacing w:after="0"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  <w:r w:rsidRPr="00BE45D9">
              <w:rPr>
                <w:rFonts w:ascii="仿宋_GB2312" w:eastAsia="仿宋_GB2312" w:hAnsi="宋体" w:hint="eastAsia"/>
                <w:sz w:val="24"/>
              </w:rPr>
              <w:t>*</w:t>
            </w:r>
          </w:p>
        </w:tc>
        <w:tc>
          <w:tcPr>
            <w:tcW w:w="72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</w:tbl>
    <w:p w:rsidR="001E0484" w:rsidRPr="00BE45D9" w:rsidRDefault="001E0484" w:rsidP="001E0484">
      <w:pPr>
        <w:adjustRightInd w:val="0"/>
        <w:snapToGrid w:val="0"/>
        <w:spacing w:beforeLines="50" w:before="156" w:line="340" w:lineRule="exact"/>
        <w:rPr>
          <w:rFonts w:ascii="仿宋_GB2312" w:eastAsia="仿宋_GB2312" w:hAnsi="宋体" w:hint="eastAsia"/>
          <w:sz w:val="24"/>
        </w:rPr>
      </w:pPr>
      <w:r w:rsidRPr="00BE45D9">
        <w:rPr>
          <w:rFonts w:ascii="仿宋_GB2312" w:eastAsia="仿宋_GB2312" w:hAnsi="宋体" w:hint="eastAsia"/>
          <w:sz w:val="24"/>
        </w:rPr>
        <w:t>注：1．本表共12项，其中关键项6项，重点项3项，一般项3项。***表示关键项，**为重点项，*为一般项。</w:t>
      </w:r>
    </w:p>
    <w:p w:rsidR="001E0484" w:rsidRPr="00BE45D9" w:rsidRDefault="001E0484" w:rsidP="001E0484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hint="eastAsia"/>
          <w:sz w:val="24"/>
        </w:rPr>
      </w:pPr>
      <w:r w:rsidRPr="00BE45D9">
        <w:rPr>
          <w:rFonts w:ascii="仿宋_GB2312" w:eastAsia="仿宋_GB2312" w:hAnsi="宋体" w:hint="eastAsia"/>
          <w:sz w:val="24"/>
        </w:rPr>
        <w:lastRenderedPageBreak/>
        <w:t>2．项目中的内容如部分不符合，应作为不符合。</w:t>
      </w:r>
    </w:p>
    <w:p w:rsidR="001E0484" w:rsidRDefault="001E0484" w:rsidP="001E0484">
      <w:pPr>
        <w:adjustRightInd w:val="0"/>
        <w:snapToGrid w:val="0"/>
        <w:ind w:firstLineChars="200" w:firstLine="420"/>
        <w:rPr>
          <w:rFonts w:ascii="宋体" w:hAnsi="宋体"/>
        </w:rPr>
        <w:sectPr w:rsidR="001E0484" w:rsidSect="00B81D3F">
          <w:pgSz w:w="16838" w:h="11906" w:orient="landscape"/>
          <w:pgMar w:top="1701" w:right="1418" w:bottom="1418" w:left="1701" w:header="851" w:footer="992" w:gutter="0"/>
          <w:pgNumType w:fmt="numberInDash"/>
          <w:cols w:space="425"/>
          <w:docGrid w:type="linesAndChars" w:linePitch="312"/>
        </w:sectPr>
      </w:pPr>
    </w:p>
    <w:p w:rsidR="001E0484" w:rsidRDefault="001E0484" w:rsidP="001E0484">
      <w:pPr>
        <w:spacing w:afterLines="100" w:after="312"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BE45D9">
        <w:rPr>
          <w:rFonts w:ascii="方正小标宋简体" w:eastAsia="方正小标宋简体" w:hAnsi="宋体" w:hint="eastAsia"/>
          <w:sz w:val="44"/>
          <w:szCs w:val="44"/>
        </w:rPr>
        <w:lastRenderedPageBreak/>
        <w:t>现场核查汇总表</w:t>
      </w:r>
    </w:p>
    <w:p w:rsidR="001E0484" w:rsidRPr="00BE45D9" w:rsidRDefault="001E0484" w:rsidP="001E0484">
      <w:pPr>
        <w:spacing w:afterLines="100" w:after="312"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1620"/>
        <w:gridCol w:w="1800"/>
        <w:gridCol w:w="1800"/>
      </w:tblGrid>
      <w:tr w:rsidR="001E0484" w:rsidRPr="00BE45D9" w:rsidTr="0066640C">
        <w:trPr>
          <w:trHeight w:val="448"/>
          <w:jc w:val="center"/>
        </w:trPr>
        <w:tc>
          <w:tcPr>
            <w:tcW w:w="3054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E45D9">
              <w:rPr>
                <w:rFonts w:ascii="仿宋_GB2312" w:eastAsia="仿宋_GB2312" w:hAnsi="宋体" w:hint="eastAsia"/>
                <w:sz w:val="32"/>
                <w:szCs w:val="32"/>
              </w:rPr>
              <w:t>关键项</w:t>
            </w:r>
          </w:p>
        </w:tc>
        <w:tc>
          <w:tcPr>
            <w:tcW w:w="180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E45D9">
              <w:rPr>
                <w:rFonts w:ascii="仿宋_GB2312" w:eastAsia="仿宋_GB2312" w:hAnsi="宋体" w:hint="eastAsia"/>
                <w:sz w:val="32"/>
                <w:szCs w:val="32"/>
              </w:rPr>
              <w:t>重点项</w:t>
            </w:r>
          </w:p>
        </w:tc>
        <w:tc>
          <w:tcPr>
            <w:tcW w:w="180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E45D9">
              <w:rPr>
                <w:rFonts w:ascii="仿宋_GB2312" w:eastAsia="仿宋_GB2312" w:hAnsi="宋体" w:hint="eastAsia"/>
                <w:sz w:val="32"/>
                <w:szCs w:val="32"/>
              </w:rPr>
              <w:t>一般项</w:t>
            </w:r>
          </w:p>
        </w:tc>
      </w:tr>
      <w:tr w:rsidR="001E0484" w:rsidRPr="00BE45D9" w:rsidTr="0066640C">
        <w:trPr>
          <w:trHeight w:val="610"/>
          <w:jc w:val="center"/>
        </w:trPr>
        <w:tc>
          <w:tcPr>
            <w:tcW w:w="3054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E45D9">
              <w:rPr>
                <w:rFonts w:ascii="仿宋_GB2312" w:eastAsia="仿宋_GB2312" w:hAnsi="宋体" w:hint="eastAsia"/>
                <w:sz w:val="32"/>
                <w:szCs w:val="32"/>
              </w:rPr>
              <w:t>不符合项目（项）</w:t>
            </w:r>
          </w:p>
        </w:tc>
        <w:tc>
          <w:tcPr>
            <w:tcW w:w="162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1E0484" w:rsidRPr="00BE45D9" w:rsidRDefault="001E0484" w:rsidP="001E0484">
      <w:pPr>
        <w:adjustRightInd w:val="0"/>
        <w:snapToGrid w:val="0"/>
        <w:spacing w:beforeLines="100" w:before="312"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45D9">
        <w:rPr>
          <w:rFonts w:ascii="仿宋_GB2312" w:eastAsia="仿宋_GB2312" w:hAnsi="宋体" w:hint="eastAsia"/>
          <w:sz w:val="32"/>
          <w:szCs w:val="32"/>
        </w:rPr>
        <w:t>核查人签名：             申请人阅后签名：</w:t>
      </w:r>
    </w:p>
    <w:p w:rsidR="001E0484" w:rsidRPr="00BE45D9" w:rsidRDefault="001E0484" w:rsidP="001E0484">
      <w:pPr>
        <w:adjustRightInd w:val="0"/>
        <w:snapToGrid w:val="0"/>
        <w:spacing w:beforeLines="100" w:before="312"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45D9">
        <w:rPr>
          <w:rFonts w:ascii="仿宋_GB2312" w:eastAsia="仿宋_GB2312" w:hAnsi="宋体" w:hint="eastAsia"/>
          <w:sz w:val="32"/>
          <w:szCs w:val="32"/>
        </w:rPr>
        <w:t>日期：                   日期：</w:t>
      </w:r>
    </w:p>
    <w:p w:rsidR="001E0484" w:rsidRPr="00BE45D9" w:rsidRDefault="001E0484" w:rsidP="001E0484">
      <w:pPr>
        <w:adjustRightInd w:val="0"/>
        <w:snapToGrid w:val="0"/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1E0484" w:rsidRDefault="001E0484" w:rsidP="001E048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BE45D9">
        <w:rPr>
          <w:rFonts w:ascii="方正小标宋简体" w:eastAsia="方正小标宋简体" w:hAnsi="宋体" w:hint="eastAsia"/>
          <w:sz w:val="44"/>
          <w:szCs w:val="44"/>
        </w:rPr>
        <w:t>现场核查结果判定准则</w:t>
      </w:r>
    </w:p>
    <w:p w:rsidR="001E0484" w:rsidRPr="00BE45D9" w:rsidRDefault="001E0484" w:rsidP="001E0484">
      <w:pPr>
        <w:adjustRightInd w:val="0"/>
        <w:snapToGrid w:val="0"/>
        <w:spacing w:line="560" w:lineRule="exact"/>
        <w:rPr>
          <w:rFonts w:ascii="方正小标宋简体" w:eastAsia="方正小标宋简体" w:hAnsi="宋体" w:hint="eastAsia"/>
          <w:sz w:val="44"/>
          <w:szCs w:val="44"/>
        </w:rPr>
      </w:pPr>
    </w:p>
    <w:p w:rsidR="001E0484" w:rsidRPr="00BE45D9" w:rsidRDefault="001E0484" w:rsidP="001E0484">
      <w:pPr>
        <w:adjustRightInd w:val="0"/>
        <w:snapToGrid w:val="0"/>
        <w:spacing w:beforeLines="100" w:before="312" w:afterLines="50" w:after="156"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E45D9">
        <w:rPr>
          <w:rFonts w:ascii="仿宋_GB2312" w:eastAsia="仿宋_GB2312" w:hAnsi="宋体" w:hint="eastAsia"/>
          <w:sz w:val="32"/>
          <w:szCs w:val="32"/>
        </w:rPr>
        <w:t>表中项目按其对食品安全的影响程度，分为关键项、重点项和一般项，其中关键项是对食品安全有重大影响的项目，重点项是对食品安全有较大影响的项目，其余项目为一般项。符合下表的，可判定为现场核查基本符合：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5349"/>
      </w:tblGrid>
      <w:tr w:rsidR="001E0484" w:rsidRPr="00BE45D9" w:rsidTr="0066640C">
        <w:trPr>
          <w:trHeight w:val="569"/>
          <w:jc w:val="center"/>
        </w:trPr>
        <w:tc>
          <w:tcPr>
            <w:tcW w:w="3290" w:type="dxa"/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E45D9">
              <w:rPr>
                <w:rFonts w:ascii="仿宋_GB2312" w:eastAsia="仿宋_GB2312" w:hAnsi="宋体" w:hint="eastAsia"/>
                <w:sz w:val="32"/>
                <w:szCs w:val="32"/>
              </w:rPr>
              <w:t>关键项允许不符合数</w:t>
            </w:r>
          </w:p>
        </w:tc>
        <w:tc>
          <w:tcPr>
            <w:tcW w:w="5349" w:type="dxa"/>
            <w:tcBorders>
              <w:right w:val="single" w:sz="4" w:space="0" w:color="auto"/>
            </w:tcBorders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E45D9">
              <w:rPr>
                <w:rFonts w:ascii="仿宋_GB2312" w:eastAsia="仿宋_GB2312" w:hAnsi="宋体" w:hint="eastAsia"/>
                <w:sz w:val="32"/>
                <w:szCs w:val="32"/>
              </w:rPr>
              <w:t>重点项和一般项允许不符合数</w:t>
            </w:r>
          </w:p>
        </w:tc>
      </w:tr>
      <w:tr w:rsidR="001E0484" w:rsidRPr="00BE45D9" w:rsidTr="0066640C">
        <w:trPr>
          <w:trHeight w:val="1360"/>
          <w:jc w:val="center"/>
        </w:trPr>
        <w:tc>
          <w:tcPr>
            <w:tcW w:w="3290" w:type="dxa"/>
            <w:tcBorders>
              <w:bottom w:val="single" w:sz="4" w:space="0" w:color="auto"/>
            </w:tcBorders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E45D9">
              <w:rPr>
                <w:rFonts w:ascii="仿宋_GB2312" w:eastAsia="仿宋_GB2312" w:hAnsi="宋体" w:hint="eastAsia"/>
                <w:sz w:val="32"/>
                <w:szCs w:val="32"/>
              </w:rPr>
              <w:t>0项</w:t>
            </w:r>
          </w:p>
        </w:tc>
        <w:tc>
          <w:tcPr>
            <w:tcW w:w="5349" w:type="dxa"/>
            <w:tcBorders>
              <w:right w:val="single" w:sz="4" w:space="0" w:color="auto"/>
            </w:tcBorders>
            <w:vAlign w:val="center"/>
          </w:tcPr>
          <w:p w:rsidR="001E0484" w:rsidRPr="00BE45D9" w:rsidRDefault="001E0484" w:rsidP="0066640C">
            <w:pPr>
              <w:adjustRightInd w:val="0"/>
              <w:snapToGrid w:val="0"/>
              <w:spacing w:beforeLines="50" w:before="156" w:afterLines="50" w:after="156"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E45D9">
              <w:rPr>
                <w:rFonts w:ascii="仿宋_GB2312" w:eastAsia="仿宋_GB2312" w:hAnsi="宋体" w:hint="eastAsia"/>
                <w:sz w:val="32"/>
                <w:szCs w:val="32"/>
              </w:rPr>
              <w:t>重点项和一般项不符合总数≤3项</w:t>
            </w:r>
          </w:p>
          <w:p w:rsidR="001E0484" w:rsidRPr="00BE45D9" w:rsidRDefault="001E0484" w:rsidP="0066640C">
            <w:pPr>
              <w:adjustRightInd w:val="0"/>
              <w:snapToGrid w:val="0"/>
              <w:spacing w:beforeLines="50" w:before="156" w:afterLines="50" w:after="156"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E45D9">
              <w:rPr>
                <w:rFonts w:ascii="仿宋_GB2312" w:eastAsia="仿宋_GB2312" w:hAnsi="宋体" w:hint="eastAsia"/>
                <w:sz w:val="32"/>
                <w:szCs w:val="32"/>
              </w:rPr>
              <w:t>其中重点项不符合数≤1项</w:t>
            </w:r>
          </w:p>
        </w:tc>
      </w:tr>
    </w:tbl>
    <w:p w:rsidR="001E0484" w:rsidRDefault="001E0484" w:rsidP="001E0484">
      <w:pPr>
        <w:adjustRightInd w:val="0"/>
        <w:snapToGrid w:val="0"/>
        <w:spacing w:line="360" w:lineRule="auto"/>
        <w:rPr>
          <w:rFonts w:ascii="仿宋_GB2312" w:eastAsia="仿宋_GB2312" w:hAnsi="仿宋" w:hint="eastAsia"/>
          <w:sz w:val="32"/>
          <w:szCs w:val="32"/>
        </w:rPr>
      </w:pPr>
    </w:p>
    <w:p w:rsidR="00F03DC9" w:rsidRPr="001E0484" w:rsidRDefault="001E0484"/>
    <w:sectPr w:rsidR="00F03DC9" w:rsidRPr="001E0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84"/>
    <w:rsid w:val="001E0484"/>
    <w:rsid w:val="00637332"/>
    <w:rsid w:val="009D5B97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19E93-4DCF-47B4-8FC8-39041DEB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4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1E0484"/>
    <w:rPr>
      <w:rFonts w:ascii="宋体" w:hAnsi="宋体" w:cs="Courier New"/>
      <w:sz w:val="32"/>
      <w:szCs w:val="32"/>
    </w:rPr>
  </w:style>
  <w:style w:type="paragraph" w:styleId="2">
    <w:name w:val="Body Text 2"/>
    <w:basedOn w:val="a"/>
    <w:link w:val="2Char"/>
    <w:rsid w:val="001E0484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1E0484"/>
    <w:rPr>
      <w:rFonts w:ascii="Times New Roman" w:eastAsia="宋体" w:hAnsi="Times New Roman" w:cs="Times New Roman"/>
      <w:szCs w:val="24"/>
    </w:rPr>
  </w:style>
  <w:style w:type="paragraph" w:customStyle="1" w:styleId="publishtime">
    <w:name w:val="publishtime"/>
    <w:basedOn w:val="a"/>
    <w:rsid w:val="001E0484"/>
    <w:pPr>
      <w:widowControl/>
      <w:spacing w:before="100" w:beforeAutospacing="1" w:after="100" w:afterAutospacing="1"/>
      <w:jc w:val="left"/>
    </w:pPr>
    <w:rPr>
      <w:rFonts w:ascii="ˎ̥" w:hAnsi="ˎ̥" w:cs="宋体"/>
      <w:color w:val="22588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2016-11-29T09:26:00Z</dcterms:created>
  <dcterms:modified xsi:type="dcterms:W3CDTF">2016-11-29T09:26:00Z</dcterms:modified>
</cp:coreProperties>
</file>