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eastAsia="仿宋_GB2312"/>
          <w:b/>
          <w:bCs/>
          <w:sz w:val="32"/>
          <w:szCs w:val="30"/>
        </w:rPr>
      </w:pPr>
      <w:bookmarkStart w:id="0" w:name="_GoBack"/>
      <w:r>
        <w:rPr>
          <w:rFonts w:hint="eastAsia" w:ascii="仿宋_GB2312" w:eastAsia="仿宋_GB2312"/>
          <w:b/>
          <w:sz w:val="32"/>
          <w:szCs w:val="30"/>
        </w:rPr>
        <w:t>附件：网络运营商运行维护费用</w:t>
      </w:r>
      <w:r>
        <w:rPr>
          <w:rFonts w:hint="eastAsia" w:ascii="仿宋_GB2312" w:eastAsia="仿宋_GB2312"/>
          <w:b/>
          <w:bCs/>
          <w:sz w:val="32"/>
          <w:szCs w:val="30"/>
        </w:rPr>
        <w:t>年度决算编制要求</w:t>
      </w:r>
    </w:p>
    <w:bookmarkEnd w:id="0"/>
    <w:tbl>
      <w:tblPr>
        <w:tblStyle w:val="5"/>
        <w:tblW w:w="10344"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10"/>
        <w:gridCol w:w="1134"/>
        <w:gridCol w:w="3967"/>
        <w:gridCol w:w="3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bCs/>
                <w:sz w:val="24"/>
                <w:szCs w:val="24"/>
              </w:rPr>
            </w:pPr>
            <w:r>
              <w:rPr>
                <w:rFonts w:hint="eastAsia" w:ascii="仿宋_GB2312" w:hAnsi="宋体" w:eastAsia="仿宋_GB2312"/>
                <w:b/>
                <w:bCs/>
                <w:sz w:val="24"/>
                <w:szCs w:val="24"/>
              </w:rPr>
              <w:t>项目</w:t>
            </w:r>
          </w:p>
        </w:tc>
        <w:tc>
          <w:tcPr>
            <w:tcW w:w="58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bCs/>
                <w:sz w:val="24"/>
                <w:szCs w:val="24"/>
              </w:rPr>
            </w:pPr>
            <w:r>
              <w:rPr>
                <w:rFonts w:hint="eastAsia" w:ascii="仿宋_GB2312" w:hAnsi="宋体" w:eastAsia="仿宋_GB2312"/>
                <w:b/>
                <w:bCs/>
                <w:sz w:val="24"/>
                <w:szCs w:val="24"/>
              </w:rPr>
              <w:t>编制要求</w:t>
            </w:r>
          </w:p>
        </w:tc>
        <w:tc>
          <w:tcPr>
            <w:tcW w:w="3825" w:type="dxa"/>
            <w:tcBorders>
              <w:top w:val="single" w:color="auto" w:sz="4" w:space="0"/>
              <w:left w:val="single" w:color="auto" w:sz="4" w:space="0"/>
              <w:bottom w:val="single" w:color="auto" w:sz="4" w:space="0"/>
              <w:right w:val="single" w:color="auto" w:sz="4" w:space="0"/>
            </w:tcBorders>
            <w:vAlign w:val="top"/>
          </w:tcPr>
          <w:p>
            <w:pPr>
              <w:jc w:val="center"/>
              <w:rPr>
                <w:rFonts w:ascii="仿宋_GB2312" w:hAnsi="宋体" w:eastAsia="仿宋_GB2312"/>
                <w:b/>
                <w:bCs/>
                <w:sz w:val="24"/>
                <w:szCs w:val="24"/>
              </w:rPr>
            </w:pPr>
            <w:r>
              <w:rPr>
                <w:rFonts w:hint="eastAsia" w:ascii="仿宋_GB2312" w:hAnsi="宋体" w:eastAsia="仿宋_GB2312"/>
                <w:b/>
                <w:bCs/>
                <w:sz w:val="24"/>
                <w:szCs w:val="24"/>
              </w:rPr>
              <w:t>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89" w:hRule="atLeast"/>
        </w:trPr>
        <w:tc>
          <w:tcPr>
            <w:tcW w:w="708" w:type="dxa"/>
            <w:tcBorders>
              <w:top w:val="single" w:color="auto" w:sz="4" w:space="0"/>
              <w:left w:val="single" w:color="auto" w:sz="4" w:space="0"/>
              <w:bottom w:val="single" w:color="auto" w:sz="4" w:space="0"/>
              <w:right w:val="single" w:color="auto" w:sz="4" w:space="0"/>
            </w:tcBorders>
            <w:textDirection w:val="tbRlV"/>
            <w:vAlign w:val="top"/>
          </w:tcPr>
          <w:p>
            <w:pPr>
              <w:ind w:left="113" w:right="113"/>
              <w:jc w:val="center"/>
              <w:rPr>
                <w:rFonts w:ascii="仿宋_GB2312" w:hAnsi="宋体" w:eastAsia="仿宋_GB2312"/>
                <w:sz w:val="24"/>
                <w:szCs w:val="24"/>
              </w:rPr>
            </w:pPr>
            <w:r>
              <w:rPr>
                <w:rFonts w:hint="eastAsia" w:ascii="仿宋_GB2312" w:hAnsi="宋体" w:eastAsia="仿宋_GB2312"/>
                <w:sz w:val="24"/>
                <w:szCs w:val="24"/>
              </w:rPr>
              <w:t>1.固定资产折旧和无形资产摊销费用</w:t>
            </w:r>
          </w:p>
        </w:tc>
        <w:tc>
          <w:tcPr>
            <w:tcW w:w="5811" w:type="dxa"/>
            <w:gridSpan w:val="3"/>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bCs/>
                <w:sz w:val="24"/>
                <w:szCs w:val="24"/>
              </w:rPr>
            </w:pPr>
            <w:r>
              <w:rPr>
                <w:rFonts w:hint="eastAsia" w:ascii="仿宋_GB2312" w:hAnsi="宋体" w:eastAsia="仿宋_GB2312"/>
                <w:bCs/>
                <w:sz w:val="24"/>
                <w:szCs w:val="24"/>
              </w:rPr>
              <w:t>固定资产折旧是指网络设备、网络系统硬件设备、基站设备和机房环境设备的折旧费；除网络核心交换机设备按加速折旧法，其它网络设备按照5年直线法计提折旧。固定资产应按新建设备和更新设备分别列示计提折旧；无形资产摊销费用指用于网络的无形资产、非专利技术、软件等按照10年直线法计提年度摊销费用。</w:t>
            </w:r>
          </w:p>
          <w:p>
            <w:pPr>
              <w:rPr>
                <w:rFonts w:hint="eastAsia" w:ascii="仿宋_GB2312" w:hAnsi="宋体" w:eastAsia="仿宋_GB2312"/>
                <w:bCs/>
                <w:sz w:val="24"/>
                <w:szCs w:val="24"/>
              </w:rPr>
            </w:pPr>
            <w:r>
              <w:rPr>
                <w:rFonts w:hint="eastAsia" w:ascii="仿宋_GB2312" w:hAnsi="宋体" w:eastAsia="仿宋_GB2312"/>
                <w:bCs/>
                <w:sz w:val="24"/>
                <w:szCs w:val="24"/>
              </w:rPr>
              <w:t>无线政务网建设项目竣工后，按项目管理要求，完成竣工验收手续，依据企业财务制度关于固定资产管理的相关规定计提折旧或摊销费用。</w:t>
            </w:r>
          </w:p>
          <w:p>
            <w:pPr>
              <w:rPr>
                <w:rFonts w:hint="eastAsia" w:ascii="仿宋_GB2312" w:hAnsi="宋体" w:eastAsia="仿宋_GB2312"/>
                <w:bCs/>
                <w:sz w:val="24"/>
                <w:szCs w:val="24"/>
              </w:rPr>
            </w:pPr>
            <w:r>
              <w:rPr>
                <w:rFonts w:hint="eastAsia" w:ascii="仿宋_GB2312" w:hAnsi="宋体" w:eastAsia="仿宋_GB2312"/>
                <w:bCs/>
                <w:sz w:val="24"/>
                <w:szCs w:val="24"/>
              </w:rPr>
              <w:t>新增固定资产折旧和无形资产摊销费用应按照上一年度1月1日至12月31日经北京市政务网络管理中心委托的第三方单位经造价审核及结算审计审定的资产原值，根据本规定的折旧计提方法，计算上一年度1月1日至12月31日发生的折旧和摊销费用。</w:t>
            </w:r>
          </w:p>
          <w:p>
            <w:pPr>
              <w:rPr>
                <w:rFonts w:ascii="仿宋_GB2312" w:hAnsi="宋体" w:eastAsia="仿宋_GB2312"/>
                <w:bCs/>
                <w:sz w:val="24"/>
                <w:szCs w:val="24"/>
              </w:rPr>
            </w:pPr>
            <w:r>
              <w:rPr>
                <w:rFonts w:hint="eastAsia" w:ascii="仿宋_GB2312" w:hAnsi="宋体" w:eastAsia="仿宋_GB2312"/>
                <w:bCs/>
                <w:sz w:val="24"/>
                <w:szCs w:val="24"/>
              </w:rPr>
              <w:t>本办法实施之前形成的固定资产和无形资产，按已形成资产原值进行折旧计提和摊销。</w:t>
            </w:r>
          </w:p>
        </w:tc>
        <w:tc>
          <w:tcPr>
            <w:tcW w:w="3825" w:type="dxa"/>
            <w:tcBorders>
              <w:top w:val="single" w:color="auto" w:sz="4" w:space="0"/>
              <w:left w:val="single" w:color="auto" w:sz="4" w:space="0"/>
              <w:bottom w:val="single" w:color="auto" w:sz="4" w:space="0"/>
              <w:right w:val="single" w:color="auto" w:sz="4" w:space="0"/>
            </w:tcBorders>
            <w:vAlign w:val="top"/>
          </w:tcPr>
          <w:p>
            <w:pPr>
              <w:numPr>
                <w:ilvl w:val="0"/>
                <w:numId w:val="1"/>
              </w:numPr>
              <w:rPr>
                <w:rFonts w:ascii="仿宋_GB2312" w:hAnsi="宋体" w:eastAsia="仿宋_GB2312"/>
                <w:bCs/>
                <w:sz w:val="24"/>
                <w:szCs w:val="24"/>
              </w:rPr>
            </w:pPr>
            <w:r>
              <w:rPr>
                <w:rFonts w:hint="eastAsia" w:ascii="仿宋_GB2312" w:hAnsi="宋体" w:eastAsia="仿宋_GB2312"/>
                <w:bCs/>
                <w:sz w:val="24"/>
                <w:szCs w:val="24"/>
              </w:rPr>
              <w:t>按照评审办法编制的上一年度1月1日至12月31日固定资产折旧计算汇总表。</w:t>
            </w:r>
          </w:p>
          <w:p>
            <w:pPr>
              <w:numPr>
                <w:ilvl w:val="0"/>
                <w:numId w:val="1"/>
              </w:numPr>
              <w:rPr>
                <w:rFonts w:hint="eastAsia" w:ascii="仿宋_GB2312" w:hAnsi="宋体" w:eastAsia="仿宋_GB2312"/>
                <w:bCs/>
                <w:sz w:val="24"/>
                <w:szCs w:val="24"/>
              </w:rPr>
            </w:pPr>
            <w:r>
              <w:rPr>
                <w:rFonts w:hint="eastAsia" w:ascii="仿宋_GB2312" w:hAnsi="宋体" w:eastAsia="仿宋_GB2312"/>
                <w:bCs/>
                <w:sz w:val="24"/>
                <w:szCs w:val="24"/>
              </w:rPr>
              <w:t>上一年度1月1日至12月31日的固定资产明细账。</w:t>
            </w:r>
          </w:p>
          <w:p>
            <w:pPr>
              <w:numPr>
                <w:ilvl w:val="0"/>
                <w:numId w:val="1"/>
              </w:numPr>
              <w:rPr>
                <w:rFonts w:hint="eastAsia" w:ascii="仿宋_GB2312" w:hAnsi="宋体" w:eastAsia="仿宋_GB2312"/>
                <w:bCs/>
                <w:sz w:val="24"/>
                <w:szCs w:val="24"/>
              </w:rPr>
            </w:pPr>
            <w:r>
              <w:rPr>
                <w:rFonts w:hint="eastAsia" w:ascii="仿宋_GB2312" w:hAnsi="宋体" w:eastAsia="仿宋_GB2312"/>
                <w:bCs/>
                <w:sz w:val="24"/>
                <w:szCs w:val="24"/>
              </w:rPr>
              <w:t>上一年度1月1日至12月31日应急工程验收单、专项结算报告及审计报告。</w:t>
            </w:r>
          </w:p>
          <w:p>
            <w:pPr>
              <w:numPr>
                <w:ilvl w:val="0"/>
                <w:numId w:val="1"/>
              </w:numPr>
              <w:rPr>
                <w:rFonts w:hint="eastAsia" w:ascii="仿宋_GB2312" w:hAnsi="宋体" w:eastAsia="仿宋_GB2312"/>
                <w:bCs/>
                <w:sz w:val="24"/>
                <w:szCs w:val="24"/>
              </w:rPr>
            </w:pPr>
            <w:r>
              <w:rPr>
                <w:rFonts w:hint="eastAsia" w:ascii="仿宋_GB2312" w:hAnsi="宋体" w:eastAsia="仿宋_GB2312"/>
                <w:bCs/>
                <w:sz w:val="24"/>
                <w:szCs w:val="24"/>
              </w:rPr>
              <w:t>上一年度1月1日至12月31日新购置固定资产付款凭证、出库单及验收单。</w:t>
            </w:r>
          </w:p>
          <w:p>
            <w:pPr>
              <w:numPr>
                <w:ilvl w:val="0"/>
                <w:numId w:val="1"/>
              </w:numPr>
              <w:rPr>
                <w:rFonts w:hint="eastAsia" w:ascii="仿宋_GB2312" w:hAnsi="宋体" w:eastAsia="仿宋_GB2312"/>
                <w:bCs/>
                <w:sz w:val="24"/>
                <w:szCs w:val="24"/>
              </w:rPr>
            </w:pPr>
            <w:r>
              <w:rPr>
                <w:rFonts w:hint="eastAsia" w:ascii="仿宋_GB2312" w:hAnsi="宋体" w:eastAsia="仿宋_GB2312"/>
                <w:bCs/>
                <w:sz w:val="24"/>
                <w:szCs w:val="24"/>
              </w:rPr>
              <w:t>上一年度1月1日至12月31日更新改造工程的交资凭证、验收单、专项结算报告、工程审计报告。</w:t>
            </w:r>
          </w:p>
          <w:p>
            <w:pPr>
              <w:numPr>
                <w:ilvl w:val="0"/>
                <w:numId w:val="1"/>
              </w:numPr>
              <w:rPr>
                <w:rFonts w:hint="eastAsia" w:ascii="仿宋_GB2312" w:hAnsi="宋体" w:eastAsia="仿宋_GB2312"/>
                <w:bCs/>
                <w:sz w:val="24"/>
                <w:szCs w:val="24"/>
              </w:rPr>
            </w:pPr>
            <w:r>
              <w:rPr>
                <w:rFonts w:hint="eastAsia" w:ascii="仿宋_GB2312" w:hAnsi="宋体" w:eastAsia="仿宋_GB2312"/>
                <w:bCs/>
                <w:sz w:val="24"/>
                <w:szCs w:val="24"/>
              </w:rPr>
              <w:t>上一年度1月1日至12月31日新立项工程的批复、验收单、专项结算报告、工程审计报告。</w:t>
            </w:r>
          </w:p>
          <w:p>
            <w:pPr>
              <w:numPr>
                <w:ilvl w:val="0"/>
                <w:numId w:val="1"/>
              </w:numPr>
              <w:rPr>
                <w:rFonts w:hint="eastAsia" w:ascii="仿宋_GB2312" w:hAnsi="宋体" w:eastAsia="仿宋_GB2312"/>
                <w:bCs/>
                <w:sz w:val="24"/>
                <w:szCs w:val="24"/>
              </w:rPr>
            </w:pPr>
            <w:r>
              <w:rPr>
                <w:rFonts w:hint="eastAsia" w:ascii="仿宋_GB2312" w:hAnsi="宋体" w:eastAsia="仿宋_GB2312"/>
                <w:bCs/>
                <w:sz w:val="24"/>
                <w:szCs w:val="24"/>
              </w:rPr>
              <w:t>按照评审办法编制的上一年度1月1日至12月31日无形资产摊销计算汇总表。</w:t>
            </w:r>
          </w:p>
          <w:p>
            <w:pPr>
              <w:numPr>
                <w:ilvl w:val="0"/>
                <w:numId w:val="1"/>
              </w:numPr>
              <w:rPr>
                <w:rFonts w:hint="eastAsia" w:ascii="仿宋_GB2312" w:hAnsi="宋体" w:eastAsia="仿宋_GB2312"/>
                <w:bCs/>
                <w:sz w:val="24"/>
                <w:szCs w:val="24"/>
              </w:rPr>
            </w:pPr>
            <w:r>
              <w:rPr>
                <w:rFonts w:hint="eastAsia" w:ascii="仿宋_GB2312" w:hAnsi="宋体" w:eastAsia="仿宋_GB2312"/>
                <w:bCs/>
                <w:sz w:val="24"/>
                <w:szCs w:val="24"/>
              </w:rPr>
              <w:t>上一年度1月1日至12月31日的无形资产计价依据、无形资产摊销明细账及无形资产形成年度的交资凭证。</w:t>
            </w:r>
          </w:p>
          <w:p>
            <w:pPr>
              <w:rPr>
                <w:rFonts w:ascii="仿宋_GB2312" w:hAnsi="宋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7" w:hRule="atLeast"/>
        </w:trPr>
        <w:tc>
          <w:tcPr>
            <w:tcW w:w="708" w:type="dxa"/>
            <w:vMerge w:val="restart"/>
            <w:tcBorders>
              <w:top w:val="single" w:color="auto" w:sz="4" w:space="0"/>
              <w:left w:val="single" w:color="auto" w:sz="4" w:space="0"/>
              <w:bottom w:val="single" w:color="auto" w:sz="4" w:space="0"/>
              <w:right w:val="single" w:color="auto" w:sz="4" w:space="0"/>
            </w:tcBorders>
            <w:textDirection w:val="tbRlV"/>
            <w:vAlign w:val="top"/>
          </w:tcPr>
          <w:p>
            <w:pPr>
              <w:ind w:left="113" w:right="113"/>
              <w:jc w:val="center"/>
              <w:rPr>
                <w:rFonts w:ascii="仿宋_GB2312" w:hAnsi="宋体" w:eastAsia="仿宋_GB2312"/>
                <w:sz w:val="24"/>
                <w:szCs w:val="24"/>
              </w:rPr>
            </w:pPr>
            <w:r>
              <w:rPr>
                <w:rFonts w:hint="eastAsia" w:ascii="仿宋_GB2312" w:hAnsi="宋体" w:eastAsia="仿宋_GB2312"/>
                <w:sz w:val="24"/>
                <w:szCs w:val="24"/>
              </w:rPr>
              <w:t>2.维护成本</w:t>
            </w:r>
          </w:p>
          <w:p>
            <w:pPr>
              <w:ind w:left="113" w:right="113"/>
              <w:jc w:val="center"/>
              <w:rPr>
                <w:rFonts w:ascii="仿宋_GB2312" w:hAnsi="宋体" w:eastAsia="仿宋_GB2312"/>
                <w:sz w:val="24"/>
                <w:szCs w:val="24"/>
                <w:highlight w:val="yellow"/>
              </w:rPr>
            </w:pPr>
          </w:p>
        </w:tc>
        <w:tc>
          <w:tcPr>
            <w:tcW w:w="710"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bCs/>
                <w:sz w:val="24"/>
                <w:szCs w:val="24"/>
              </w:rPr>
            </w:pPr>
            <w:r>
              <w:rPr>
                <w:rFonts w:hint="eastAsia" w:ascii="仿宋_GB2312" w:hAnsi="宋体" w:eastAsia="仿宋_GB2312"/>
                <w:bCs/>
                <w:sz w:val="24"/>
                <w:szCs w:val="24"/>
              </w:rPr>
              <w:t>2.1网络运行费</w:t>
            </w:r>
          </w:p>
        </w:tc>
        <w:tc>
          <w:tcPr>
            <w:tcW w:w="5101" w:type="dxa"/>
            <w:gridSpan w:val="2"/>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bCs/>
                <w:sz w:val="24"/>
                <w:szCs w:val="24"/>
              </w:rPr>
            </w:pPr>
            <w:r>
              <w:rPr>
                <w:rFonts w:hint="eastAsia" w:ascii="仿宋_GB2312" w:hAnsi="宋体" w:eastAsia="仿宋_GB2312"/>
                <w:bCs/>
                <w:sz w:val="24"/>
                <w:szCs w:val="24"/>
              </w:rPr>
              <w:t>网络运行费包括机房房租、水、电等费用，以上年度1月1日-12月31日实际发生的金额及长期待摊费用的本期分摊额为准。</w:t>
            </w:r>
          </w:p>
          <w:p>
            <w:pPr>
              <w:rPr>
                <w:rFonts w:ascii="仿宋_GB2312" w:hAnsi="宋体" w:eastAsia="仿宋_GB2312"/>
                <w:bCs/>
                <w:sz w:val="24"/>
                <w:szCs w:val="24"/>
              </w:rPr>
            </w:pPr>
          </w:p>
        </w:tc>
        <w:tc>
          <w:tcPr>
            <w:tcW w:w="3825" w:type="dxa"/>
            <w:tcBorders>
              <w:top w:val="single" w:color="auto" w:sz="4" w:space="0"/>
              <w:left w:val="single" w:color="auto" w:sz="4" w:space="0"/>
              <w:bottom w:val="single" w:color="auto" w:sz="4" w:space="0"/>
              <w:right w:val="single" w:color="auto" w:sz="4" w:space="0"/>
            </w:tcBorders>
            <w:vAlign w:val="top"/>
          </w:tcPr>
          <w:p>
            <w:pPr>
              <w:numPr>
                <w:ilvl w:val="0"/>
                <w:numId w:val="2"/>
              </w:numPr>
              <w:rPr>
                <w:rFonts w:ascii="仿宋_GB2312" w:hAnsi="宋体" w:eastAsia="仿宋_GB2312"/>
                <w:bCs/>
                <w:sz w:val="24"/>
                <w:szCs w:val="24"/>
              </w:rPr>
            </w:pPr>
            <w:r>
              <w:rPr>
                <w:rFonts w:hint="eastAsia" w:ascii="仿宋_GB2312" w:hAnsi="宋体" w:eastAsia="仿宋_GB2312"/>
                <w:bCs/>
                <w:sz w:val="24"/>
                <w:szCs w:val="24"/>
              </w:rPr>
              <w:t>上一年度1月1日至12月31日基站房租及电费明细账。</w:t>
            </w:r>
          </w:p>
          <w:p>
            <w:pPr>
              <w:numPr>
                <w:ilvl w:val="0"/>
                <w:numId w:val="2"/>
              </w:numPr>
              <w:rPr>
                <w:rFonts w:hint="eastAsia" w:ascii="仿宋_GB2312" w:hAnsi="宋体" w:eastAsia="仿宋_GB2312"/>
                <w:bCs/>
                <w:sz w:val="24"/>
                <w:szCs w:val="24"/>
              </w:rPr>
            </w:pPr>
            <w:r>
              <w:rPr>
                <w:rFonts w:hint="eastAsia" w:ascii="仿宋_GB2312" w:hAnsi="宋体" w:eastAsia="仿宋_GB2312"/>
                <w:bCs/>
                <w:sz w:val="24"/>
                <w:szCs w:val="24"/>
              </w:rPr>
              <w:t>上一年度1月1日至12月31日基站房租的付现会计凭证。</w:t>
            </w:r>
          </w:p>
          <w:p>
            <w:pPr>
              <w:numPr>
                <w:ilvl w:val="0"/>
                <w:numId w:val="2"/>
              </w:numPr>
              <w:rPr>
                <w:rFonts w:hint="eastAsia" w:ascii="仿宋_GB2312" w:hAnsi="宋体" w:eastAsia="仿宋_GB2312"/>
                <w:bCs/>
                <w:sz w:val="24"/>
                <w:szCs w:val="24"/>
              </w:rPr>
            </w:pPr>
            <w:r>
              <w:rPr>
                <w:rFonts w:hint="eastAsia" w:ascii="仿宋_GB2312" w:hAnsi="宋体" w:eastAsia="仿宋_GB2312"/>
                <w:bCs/>
                <w:sz w:val="24"/>
                <w:szCs w:val="24"/>
              </w:rPr>
              <w:t>上一年度1月1日至12月31日其中某一月由长期待摊费用转入当期成本的基站房租转账凭证及原始付款凭证。</w:t>
            </w:r>
          </w:p>
          <w:p>
            <w:pPr>
              <w:numPr>
                <w:ilvl w:val="0"/>
                <w:numId w:val="2"/>
              </w:numPr>
              <w:rPr>
                <w:rFonts w:ascii="仿宋_GB2312" w:hAnsi="宋体" w:eastAsia="仿宋_GB2312"/>
                <w:bCs/>
                <w:sz w:val="24"/>
                <w:szCs w:val="24"/>
              </w:rPr>
            </w:pPr>
            <w:r>
              <w:rPr>
                <w:rFonts w:hint="eastAsia" w:ascii="仿宋_GB2312" w:hAnsi="宋体" w:eastAsia="仿宋_GB2312"/>
                <w:bCs/>
                <w:sz w:val="24"/>
                <w:szCs w:val="24"/>
              </w:rPr>
              <w:t>上一年度1月1日至12月31日基站电费的付款凭证。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szCs w:val="24"/>
                <w:highlight w:val="yellow"/>
              </w:rPr>
            </w:pPr>
          </w:p>
        </w:tc>
        <w:tc>
          <w:tcPr>
            <w:tcW w:w="710"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bCs/>
                <w:sz w:val="24"/>
                <w:szCs w:val="24"/>
              </w:rPr>
            </w:pPr>
            <w:r>
              <w:rPr>
                <w:rFonts w:hint="eastAsia" w:ascii="仿宋_GB2312" w:hAnsi="宋体" w:eastAsia="仿宋_GB2312"/>
                <w:bCs/>
                <w:sz w:val="24"/>
                <w:szCs w:val="24"/>
              </w:rPr>
              <w:t>2.2网络修理费</w:t>
            </w:r>
          </w:p>
        </w:tc>
        <w:tc>
          <w:tcPr>
            <w:tcW w:w="5101" w:type="dxa"/>
            <w:gridSpan w:val="2"/>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bCs/>
                <w:sz w:val="24"/>
                <w:szCs w:val="24"/>
              </w:rPr>
            </w:pPr>
            <w:r>
              <w:rPr>
                <w:rFonts w:hint="eastAsia" w:ascii="仿宋_GB2312" w:hAnsi="宋体" w:eastAsia="仿宋_GB2312"/>
                <w:bCs/>
                <w:sz w:val="24"/>
                <w:szCs w:val="24"/>
              </w:rPr>
              <w:t>网络修理费包括通信用固定资产发生的各种维保费、技术服务费、检测、监控费、码号使用费、网络评估费、网络拆改迁移一次性工程费、应急通信保障费、备品备件费、日常零星修理费等，以上年1月1日-12月31日实际发生金额及长期待摊费用的本期分摊额为准。</w:t>
            </w:r>
          </w:p>
        </w:tc>
        <w:tc>
          <w:tcPr>
            <w:tcW w:w="3825" w:type="dxa"/>
            <w:tcBorders>
              <w:top w:val="single" w:color="auto" w:sz="4" w:space="0"/>
              <w:left w:val="single" w:color="auto" w:sz="4" w:space="0"/>
              <w:bottom w:val="single" w:color="auto" w:sz="4" w:space="0"/>
              <w:right w:val="single" w:color="auto" w:sz="4" w:space="0"/>
            </w:tcBorders>
            <w:vAlign w:val="top"/>
          </w:tcPr>
          <w:p>
            <w:pPr>
              <w:numPr>
                <w:ilvl w:val="0"/>
                <w:numId w:val="3"/>
              </w:numPr>
              <w:rPr>
                <w:rFonts w:ascii="仿宋_GB2312" w:hAnsi="宋体" w:eastAsia="仿宋_GB2312"/>
                <w:bCs/>
                <w:sz w:val="24"/>
                <w:szCs w:val="24"/>
              </w:rPr>
            </w:pPr>
            <w:r>
              <w:rPr>
                <w:rFonts w:hint="eastAsia" w:ascii="仿宋_GB2312" w:hAnsi="宋体" w:eastAsia="仿宋_GB2312"/>
                <w:bCs/>
                <w:sz w:val="24"/>
                <w:szCs w:val="24"/>
              </w:rPr>
              <w:t>上一年度1月1日至12月31日各种维护运行费用的相关合同及付款凭证。</w:t>
            </w:r>
          </w:p>
          <w:p>
            <w:pPr>
              <w:numPr>
                <w:ilvl w:val="0"/>
                <w:numId w:val="3"/>
              </w:numPr>
              <w:rPr>
                <w:rFonts w:ascii="仿宋_GB2312" w:hAnsi="宋体" w:eastAsia="仿宋_GB2312"/>
                <w:bCs/>
                <w:sz w:val="24"/>
                <w:szCs w:val="24"/>
              </w:rPr>
            </w:pPr>
            <w:r>
              <w:rPr>
                <w:rFonts w:hint="eastAsia" w:ascii="仿宋_GB2312" w:hAnsi="宋体" w:eastAsia="仿宋_GB2312"/>
                <w:bCs/>
                <w:sz w:val="24"/>
                <w:szCs w:val="24"/>
              </w:rPr>
              <w:t>上一年度1月1日至12月31日日常零星修理费明细账及相关合同和付款凭证。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szCs w:val="24"/>
                <w:highlight w:val="yellow"/>
              </w:rPr>
            </w:pPr>
          </w:p>
        </w:tc>
        <w:tc>
          <w:tcPr>
            <w:tcW w:w="710"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bCs/>
                <w:sz w:val="24"/>
                <w:szCs w:val="24"/>
              </w:rPr>
            </w:pPr>
            <w:r>
              <w:rPr>
                <w:rFonts w:hint="eastAsia" w:ascii="仿宋_GB2312" w:hAnsi="宋体" w:eastAsia="仿宋_GB2312"/>
                <w:bCs/>
                <w:sz w:val="24"/>
                <w:szCs w:val="24"/>
              </w:rPr>
              <w:t>2.3仪器仪表使用费</w:t>
            </w:r>
          </w:p>
        </w:tc>
        <w:tc>
          <w:tcPr>
            <w:tcW w:w="5101" w:type="dxa"/>
            <w:gridSpan w:val="2"/>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bCs/>
                <w:sz w:val="24"/>
                <w:szCs w:val="24"/>
              </w:rPr>
            </w:pPr>
            <w:r>
              <w:rPr>
                <w:rFonts w:hint="eastAsia" w:ascii="仿宋_GB2312" w:hAnsi="宋体" w:eastAsia="仿宋_GB2312"/>
                <w:bCs/>
                <w:sz w:val="24"/>
                <w:szCs w:val="24"/>
              </w:rPr>
              <w:t>仪器仪表使用费指用于网络维护的测试工具、测试仪表等的使用费，以上年1月1日-12月31日实际发生额及长期待摊费用的本期分摊额为准。</w:t>
            </w:r>
          </w:p>
        </w:tc>
        <w:tc>
          <w:tcPr>
            <w:tcW w:w="3825"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bCs/>
                <w:sz w:val="24"/>
                <w:szCs w:val="24"/>
              </w:rPr>
            </w:pPr>
            <w:r>
              <w:rPr>
                <w:rFonts w:hint="eastAsia" w:ascii="仿宋_GB2312" w:hAnsi="宋体" w:eastAsia="仿宋_GB2312"/>
                <w:bCs/>
                <w:sz w:val="24"/>
                <w:szCs w:val="24"/>
              </w:rPr>
              <w:t>上一年度1月1日至12月31日仪器仪表的购置凭证。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szCs w:val="24"/>
                <w:highlight w:val="yellow"/>
              </w:rPr>
            </w:pPr>
          </w:p>
        </w:tc>
        <w:tc>
          <w:tcPr>
            <w:tcW w:w="710"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bCs/>
                <w:sz w:val="24"/>
                <w:szCs w:val="24"/>
              </w:rPr>
            </w:pPr>
            <w:r>
              <w:rPr>
                <w:rFonts w:hint="eastAsia" w:ascii="仿宋_GB2312" w:hAnsi="宋体" w:eastAsia="仿宋_GB2312"/>
                <w:bCs/>
                <w:sz w:val="24"/>
                <w:szCs w:val="24"/>
              </w:rPr>
              <w:t>2.4租用费</w:t>
            </w:r>
          </w:p>
        </w:tc>
        <w:tc>
          <w:tcPr>
            <w:tcW w:w="1134" w:type="dxa"/>
            <w:tcBorders>
              <w:top w:val="single" w:color="auto" w:sz="4" w:space="0"/>
              <w:left w:val="single" w:color="auto" w:sz="4" w:space="0"/>
              <w:bottom w:val="single" w:color="auto" w:sz="4" w:space="0"/>
              <w:right w:val="single" w:color="auto" w:sz="4" w:space="0"/>
            </w:tcBorders>
            <w:vAlign w:val="top"/>
          </w:tcPr>
          <w:p>
            <w:pPr>
              <w:jc w:val="left"/>
              <w:rPr>
                <w:rFonts w:ascii="仿宋_GB2312" w:hAnsi="宋体" w:eastAsia="仿宋_GB2312"/>
                <w:bCs/>
                <w:sz w:val="24"/>
                <w:szCs w:val="24"/>
              </w:rPr>
            </w:pPr>
            <w:r>
              <w:rPr>
                <w:rFonts w:hint="eastAsia" w:ascii="仿宋_GB2312" w:hAnsi="宋体" w:eastAsia="仿宋_GB2312"/>
                <w:bCs/>
                <w:sz w:val="24"/>
                <w:szCs w:val="24"/>
              </w:rPr>
              <w:t>光缆管道、杆路、铁塔租用费</w:t>
            </w:r>
          </w:p>
        </w:tc>
        <w:tc>
          <w:tcPr>
            <w:tcW w:w="3967"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bCs/>
                <w:sz w:val="24"/>
                <w:szCs w:val="24"/>
              </w:rPr>
            </w:pPr>
            <w:r>
              <w:rPr>
                <w:rFonts w:hint="eastAsia" w:ascii="仿宋_GB2312" w:hAnsi="宋体" w:eastAsia="仿宋_GB2312"/>
                <w:bCs/>
                <w:sz w:val="24"/>
                <w:szCs w:val="24"/>
              </w:rPr>
              <w:t>光缆管道、杆路、铁塔租用费指已租用管道和杆路的租用费费用，以上年1月1日-12月31日实际发生的金额及长期待摊费用的本期分摊额为准。</w:t>
            </w:r>
          </w:p>
        </w:tc>
        <w:tc>
          <w:tcPr>
            <w:tcW w:w="3825"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bCs/>
                <w:sz w:val="24"/>
                <w:szCs w:val="24"/>
              </w:rPr>
            </w:pPr>
            <w:r>
              <w:rPr>
                <w:rFonts w:hint="eastAsia" w:ascii="仿宋_GB2312" w:hAnsi="宋体" w:eastAsia="仿宋_GB2312"/>
                <w:bCs/>
                <w:sz w:val="24"/>
                <w:szCs w:val="24"/>
              </w:rPr>
              <w:t>上一年度1月1日至12月31日铁塔、槽道的租赁合同及付款、转账凭证、与合同对应的费用结算明细单。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szCs w:val="24"/>
                <w:highlight w:val="yellow"/>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Cs/>
                <w:sz w:val="24"/>
                <w:szCs w:val="24"/>
              </w:rPr>
            </w:pPr>
          </w:p>
        </w:tc>
        <w:tc>
          <w:tcPr>
            <w:tcW w:w="1134"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bCs/>
                <w:sz w:val="24"/>
                <w:szCs w:val="24"/>
              </w:rPr>
            </w:pPr>
            <w:r>
              <w:rPr>
                <w:rFonts w:hint="eastAsia" w:ascii="仿宋_GB2312" w:hAnsi="宋体" w:eastAsia="仿宋_GB2312"/>
                <w:bCs/>
                <w:sz w:val="24"/>
                <w:szCs w:val="24"/>
              </w:rPr>
              <w:t>设备租用费</w:t>
            </w:r>
          </w:p>
        </w:tc>
        <w:tc>
          <w:tcPr>
            <w:tcW w:w="3967"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bCs/>
                <w:sz w:val="24"/>
                <w:szCs w:val="24"/>
              </w:rPr>
            </w:pPr>
            <w:r>
              <w:rPr>
                <w:rFonts w:hint="eastAsia" w:ascii="仿宋_GB2312" w:hAnsi="宋体" w:eastAsia="仿宋_GB2312"/>
                <w:bCs/>
                <w:sz w:val="24"/>
                <w:szCs w:val="24"/>
              </w:rPr>
              <w:t>设备租用费指用于网络维护租用设备的费用。以上年1月1日-12月31日实际发生的金额及长期待摊费用的本期分摊额为准。</w:t>
            </w:r>
          </w:p>
        </w:tc>
        <w:tc>
          <w:tcPr>
            <w:tcW w:w="3825"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bCs/>
                <w:sz w:val="24"/>
                <w:szCs w:val="24"/>
              </w:rPr>
            </w:pPr>
            <w:r>
              <w:rPr>
                <w:rFonts w:hint="eastAsia" w:ascii="仿宋_GB2312" w:hAnsi="宋体" w:eastAsia="仿宋_GB2312"/>
                <w:bCs/>
                <w:sz w:val="24"/>
                <w:szCs w:val="24"/>
              </w:rPr>
              <w:t>上一年度1月1日至12月31日室内分布系统的租赁合同、付款凭证、与合同对应的费用结算明细单。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szCs w:val="24"/>
                <w:highlight w:val="yellow"/>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Cs/>
                <w:sz w:val="24"/>
                <w:szCs w:val="24"/>
              </w:rPr>
            </w:pPr>
          </w:p>
        </w:tc>
        <w:tc>
          <w:tcPr>
            <w:tcW w:w="1134"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bCs/>
                <w:sz w:val="24"/>
                <w:szCs w:val="24"/>
              </w:rPr>
            </w:pPr>
            <w:r>
              <w:rPr>
                <w:rFonts w:hint="eastAsia" w:ascii="仿宋_GB2312" w:hAnsi="宋体" w:eastAsia="仿宋_GB2312"/>
                <w:bCs/>
                <w:sz w:val="24"/>
                <w:szCs w:val="24"/>
              </w:rPr>
              <w:t>线路租用费</w:t>
            </w:r>
          </w:p>
        </w:tc>
        <w:tc>
          <w:tcPr>
            <w:tcW w:w="3967"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bCs/>
                <w:sz w:val="24"/>
                <w:szCs w:val="24"/>
              </w:rPr>
            </w:pPr>
            <w:r>
              <w:rPr>
                <w:rFonts w:hint="eastAsia" w:ascii="仿宋_GB2312" w:hAnsi="宋体" w:eastAsia="仿宋_GB2312"/>
                <w:bCs/>
                <w:sz w:val="24"/>
                <w:szCs w:val="24"/>
              </w:rPr>
              <w:t>线路租用费指为实现无线政务网连通而租用公众运营商网络资源的费用。以上年1月1日-12月31日实际发生的金额及长期待摊费用的本期分摊额为准。</w:t>
            </w:r>
          </w:p>
        </w:tc>
        <w:tc>
          <w:tcPr>
            <w:tcW w:w="3825"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bCs/>
                <w:sz w:val="24"/>
                <w:szCs w:val="24"/>
              </w:rPr>
            </w:pPr>
            <w:r>
              <w:rPr>
                <w:rFonts w:hint="eastAsia" w:ascii="仿宋_GB2312" w:hAnsi="宋体" w:eastAsia="仿宋_GB2312"/>
                <w:bCs/>
                <w:sz w:val="24"/>
                <w:szCs w:val="24"/>
              </w:rPr>
              <w:t>上一年度1月1日至12月31日的线路租赁合同、付款凭证、与合同对应的费用结算明细单。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szCs w:val="24"/>
                <w:highlight w:val="yellow"/>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Cs/>
                <w:sz w:val="24"/>
                <w:szCs w:val="24"/>
              </w:rPr>
            </w:pPr>
          </w:p>
        </w:tc>
        <w:tc>
          <w:tcPr>
            <w:tcW w:w="1134"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bCs/>
                <w:sz w:val="24"/>
                <w:szCs w:val="24"/>
              </w:rPr>
            </w:pPr>
            <w:r>
              <w:rPr>
                <w:rFonts w:hint="eastAsia" w:ascii="仿宋_GB2312" w:hAnsi="宋体" w:eastAsia="仿宋_GB2312"/>
                <w:bCs/>
                <w:sz w:val="24"/>
                <w:szCs w:val="24"/>
              </w:rPr>
              <w:t>频率占用费</w:t>
            </w:r>
          </w:p>
        </w:tc>
        <w:tc>
          <w:tcPr>
            <w:tcW w:w="3967"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bCs/>
                <w:sz w:val="24"/>
                <w:szCs w:val="24"/>
              </w:rPr>
            </w:pPr>
            <w:r>
              <w:rPr>
                <w:rFonts w:hint="eastAsia" w:ascii="仿宋_GB2312" w:hAnsi="宋体" w:eastAsia="仿宋_GB2312"/>
                <w:bCs/>
                <w:sz w:val="24"/>
                <w:szCs w:val="24"/>
              </w:rPr>
              <w:t>频率占用费指占用无线资源所需支付的费用。按照有关部门规定，以上年1月1日-12月31日实际发生的金额为准。</w:t>
            </w:r>
          </w:p>
        </w:tc>
        <w:tc>
          <w:tcPr>
            <w:tcW w:w="3825"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bCs/>
                <w:sz w:val="24"/>
                <w:szCs w:val="24"/>
              </w:rPr>
            </w:pPr>
            <w:r>
              <w:rPr>
                <w:rFonts w:hint="eastAsia" w:ascii="仿宋_GB2312" w:hAnsi="宋体" w:eastAsia="仿宋_GB2312"/>
                <w:bCs/>
                <w:sz w:val="24"/>
                <w:szCs w:val="24"/>
              </w:rPr>
              <w:t>上一年度1月1日至12月31日的支付凭证及对应的费用结算明细单。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szCs w:val="24"/>
                <w:highlight w:val="yellow"/>
              </w:rPr>
            </w:pPr>
          </w:p>
        </w:tc>
        <w:tc>
          <w:tcPr>
            <w:tcW w:w="710"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bCs/>
                <w:sz w:val="24"/>
                <w:szCs w:val="24"/>
              </w:rPr>
            </w:pPr>
            <w:r>
              <w:rPr>
                <w:rFonts w:hint="eastAsia" w:ascii="仿宋_GB2312" w:hAnsi="宋体" w:eastAsia="仿宋_GB2312"/>
                <w:bCs/>
                <w:sz w:val="24"/>
                <w:szCs w:val="24"/>
              </w:rPr>
              <w:t>2.5网间结算费</w:t>
            </w:r>
          </w:p>
        </w:tc>
        <w:tc>
          <w:tcPr>
            <w:tcW w:w="5101" w:type="dxa"/>
            <w:gridSpan w:val="2"/>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bCs/>
                <w:sz w:val="24"/>
                <w:szCs w:val="24"/>
              </w:rPr>
            </w:pPr>
            <w:r>
              <w:rPr>
                <w:rFonts w:hint="eastAsia" w:ascii="仿宋_GB2312" w:hAnsi="宋体" w:eastAsia="仿宋_GB2312"/>
                <w:bCs/>
                <w:sz w:val="24"/>
                <w:szCs w:val="24"/>
              </w:rPr>
              <w:t>包括无线政务网与其他网络在互联互通时所需支付的结算费用。以上年1月1日-12月31日实际发生的结算费用为准。</w:t>
            </w:r>
          </w:p>
        </w:tc>
        <w:tc>
          <w:tcPr>
            <w:tcW w:w="3825"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bCs/>
                <w:sz w:val="24"/>
                <w:szCs w:val="24"/>
              </w:rPr>
            </w:pPr>
            <w:r>
              <w:rPr>
                <w:rFonts w:hint="eastAsia" w:ascii="仿宋_GB2312" w:hAnsi="宋体" w:eastAsia="仿宋_GB2312"/>
                <w:bCs/>
                <w:sz w:val="24"/>
                <w:szCs w:val="24"/>
              </w:rPr>
              <w:t>上一年度1月1日至12月31日 的实际支付凭证及对应的费用结算明细单。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szCs w:val="24"/>
                <w:highlight w:val="yellow"/>
              </w:rPr>
            </w:pPr>
          </w:p>
        </w:tc>
        <w:tc>
          <w:tcPr>
            <w:tcW w:w="710" w:type="dxa"/>
            <w:vMerge w:val="restart"/>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bCs/>
                <w:sz w:val="24"/>
                <w:szCs w:val="24"/>
              </w:rPr>
            </w:pPr>
            <w:r>
              <w:rPr>
                <w:rFonts w:hint="eastAsia" w:ascii="仿宋_GB2312" w:hAnsi="宋体" w:eastAsia="仿宋_GB2312"/>
                <w:bCs/>
                <w:sz w:val="24"/>
                <w:szCs w:val="24"/>
              </w:rPr>
              <w:t>2.6人工成本</w:t>
            </w:r>
          </w:p>
        </w:tc>
        <w:tc>
          <w:tcPr>
            <w:tcW w:w="5101" w:type="dxa"/>
            <w:gridSpan w:val="2"/>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bCs/>
                <w:sz w:val="24"/>
                <w:szCs w:val="24"/>
              </w:rPr>
            </w:pPr>
            <w:r>
              <w:rPr>
                <w:rFonts w:hint="eastAsia" w:ascii="仿宋_GB2312" w:hAnsi="宋体" w:eastAsia="仿宋_GB2312"/>
                <w:bCs/>
                <w:sz w:val="24"/>
                <w:szCs w:val="24"/>
              </w:rPr>
              <w:t>人工成本指支付给无线政务网维护人员的人工费用。无线政务网维护人员，是指从事政务网络规划、协调、维护的工作人员。人工费用依据包括人员定员和单位人工成本两部分。单位人工成本及人员配备不超过以下标准，以上年1月1日-12月31日实际发生的金额，且不超过定额定员标准。</w:t>
            </w:r>
          </w:p>
        </w:tc>
        <w:tc>
          <w:tcPr>
            <w:tcW w:w="3825"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bCs/>
                <w:sz w:val="24"/>
                <w:szCs w:val="24"/>
              </w:rPr>
            </w:pPr>
            <w:r>
              <w:rPr>
                <w:rFonts w:hint="eastAsia" w:ascii="仿宋_GB2312" w:hAnsi="宋体" w:eastAsia="仿宋_GB2312"/>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6"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szCs w:val="24"/>
                <w:highlight w:val="yellow"/>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Cs/>
                <w:sz w:val="24"/>
                <w:szCs w:val="24"/>
              </w:rPr>
            </w:pPr>
          </w:p>
        </w:tc>
        <w:tc>
          <w:tcPr>
            <w:tcW w:w="1134"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bCs/>
                <w:sz w:val="24"/>
                <w:szCs w:val="24"/>
              </w:rPr>
            </w:pPr>
            <w:r>
              <w:rPr>
                <w:rFonts w:hint="eastAsia" w:ascii="仿宋_GB2312" w:hAnsi="宋体" w:eastAsia="仿宋_GB2312"/>
                <w:bCs/>
                <w:sz w:val="24"/>
                <w:szCs w:val="24"/>
              </w:rPr>
              <w:t>网络维护人员人工成本标准（不含地铁）</w:t>
            </w:r>
          </w:p>
        </w:tc>
        <w:tc>
          <w:tcPr>
            <w:tcW w:w="3967"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bCs/>
                <w:sz w:val="24"/>
                <w:szCs w:val="24"/>
              </w:rPr>
            </w:pPr>
            <w:r>
              <w:rPr>
                <w:rFonts w:hint="eastAsia" w:ascii="仿宋_GB2312" w:hAnsi="宋体" w:eastAsia="仿宋_GB2312"/>
                <w:bCs/>
                <w:sz w:val="24"/>
                <w:szCs w:val="24"/>
              </w:rPr>
              <w:t>网管人员15000元/月/人×15人</w:t>
            </w:r>
          </w:p>
          <w:p>
            <w:pPr>
              <w:rPr>
                <w:rFonts w:hint="eastAsia" w:ascii="仿宋_GB2312" w:hAnsi="宋体" w:eastAsia="仿宋_GB2312"/>
                <w:bCs/>
                <w:sz w:val="24"/>
                <w:szCs w:val="24"/>
              </w:rPr>
            </w:pPr>
            <w:r>
              <w:rPr>
                <w:rFonts w:hint="eastAsia" w:ascii="仿宋_GB2312" w:hAnsi="宋体" w:eastAsia="仿宋_GB2312"/>
                <w:bCs/>
                <w:sz w:val="24"/>
                <w:szCs w:val="24"/>
              </w:rPr>
              <w:t>维护人员9000元/月/人×10人</w:t>
            </w:r>
          </w:p>
          <w:p>
            <w:pPr>
              <w:rPr>
                <w:rFonts w:hint="eastAsia" w:ascii="仿宋_GB2312" w:hAnsi="宋体" w:eastAsia="仿宋_GB2312"/>
                <w:bCs/>
                <w:sz w:val="24"/>
                <w:szCs w:val="24"/>
              </w:rPr>
            </w:pPr>
            <w:r>
              <w:rPr>
                <w:rFonts w:hint="eastAsia" w:ascii="仿宋_GB2312" w:hAnsi="宋体" w:eastAsia="仿宋_GB2312"/>
                <w:bCs/>
                <w:sz w:val="24"/>
                <w:szCs w:val="24"/>
              </w:rPr>
              <w:t>网络优化人员10000元/月/人×8人</w:t>
            </w:r>
          </w:p>
          <w:p>
            <w:pPr>
              <w:rPr>
                <w:rFonts w:hint="eastAsia" w:ascii="仿宋_GB2312" w:hAnsi="宋体" w:eastAsia="仿宋_GB2312"/>
                <w:bCs/>
                <w:sz w:val="24"/>
                <w:szCs w:val="24"/>
              </w:rPr>
            </w:pPr>
            <w:r>
              <w:rPr>
                <w:rFonts w:hint="eastAsia" w:ascii="仿宋_GB2312" w:hAnsi="宋体" w:eastAsia="仿宋_GB2312"/>
                <w:bCs/>
                <w:sz w:val="24"/>
                <w:szCs w:val="24"/>
              </w:rPr>
              <w:t>应急车通信保障人员10000元/月/人×4人</w:t>
            </w:r>
          </w:p>
          <w:p>
            <w:pPr>
              <w:rPr>
                <w:rFonts w:hint="eastAsia" w:ascii="仿宋_GB2312" w:hAnsi="宋体" w:eastAsia="仿宋_GB2312"/>
                <w:bCs/>
                <w:sz w:val="24"/>
                <w:szCs w:val="24"/>
              </w:rPr>
            </w:pPr>
            <w:r>
              <w:rPr>
                <w:rFonts w:hint="eastAsia" w:ascii="仿宋_GB2312" w:hAnsi="宋体" w:eastAsia="仿宋_GB2312"/>
                <w:bCs/>
                <w:sz w:val="24"/>
                <w:szCs w:val="24"/>
              </w:rPr>
              <w:t>客户服务人员5500元/月/人×3人</w:t>
            </w:r>
          </w:p>
          <w:p>
            <w:pPr>
              <w:rPr>
                <w:rFonts w:hint="eastAsia" w:ascii="仿宋_GB2312" w:hAnsi="宋体" w:eastAsia="仿宋_GB2312"/>
                <w:bCs/>
                <w:sz w:val="24"/>
                <w:szCs w:val="24"/>
              </w:rPr>
            </w:pPr>
            <w:r>
              <w:rPr>
                <w:rFonts w:hint="eastAsia" w:ascii="仿宋_GB2312" w:hAnsi="宋体" w:eastAsia="仿宋_GB2312"/>
                <w:bCs/>
                <w:sz w:val="24"/>
                <w:szCs w:val="24"/>
              </w:rPr>
              <w:t>值班人员5500元/月/人×16人</w:t>
            </w:r>
          </w:p>
          <w:p>
            <w:pPr>
              <w:rPr>
                <w:rFonts w:hint="eastAsia" w:ascii="仿宋_GB2312" w:hAnsi="宋体" w:eastAsia="仿宋_GB2312"/>
                <w:bCs/>
                <w:sz w:val="24"/>
                <w:szCs w:val="24"/>
              </w:rPr>
            </w:pPr>
            <w:r>
              <w:rPr>
                <w:rFonts w:hint="eastAsia" w:ascii="仿宋_GB2312" w:hAnsi="宋体" w:eastAsia="仿宋_GB2312"/>
                <w:bCs/>
                <w:sz w:val="24"/>
                <w:szCs w:val="24"/>
              </w:rPr>
              <w:t>工程建设管理人员13000元/月/人×6人</w:t>
            </w:r>
          </w:p>
          <w:p>
            <w:pPr>
              <w:rPr>
                <w:rFonts w:ascii="仿宋_GB2312" w:hAnsi="宋体" w:eastAsia="仿宋_GB2312"/>
                <w:bCs/>
                <w:sz w:val="24"/>
                <w:szCs w:val="24"/>
              </w:rPr>
            </w:pPr>
            <w:r>
              <w:rPr>
                <w:rFonts w:hint="eastAsia" w:ascii="仿宋_GB2312" w:hAnsi="宋体" w:eastAsia="仿宋_GB2312"/>
                <w:bCs/>
                <w:sz w:val="24"/>
                <w:szCs w:val="24"/>
              </w:rPr>
              <w:t>管理人员平均12500元/月/人×9人</w:t>
            </w:r>
          </w:p>
        </w:tc>
        <w:tc>
          <w:tcPr>
            <w:tcW w:w="3825"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bCs/>
                <w:sz w:val="24"/>
                <w:szCs w:val="24"/>
              </w:rPr>
            </w:pPr>
            <w:r>
              <w:rPr>
                <w:rFonts w:hint="eastAsia" w:ascii="仿宋_GB2312" w:hAnsi="宋体" w:eastAsia="仿宋_GB2312"/>
                <w:bCs/>
                <w:sz w:val="24"/>
                <w:szCs w:val="24"/>
              </w:rPr>
              <w:t>依据上一年度1月1日至12月31日的人工成本明细帐计算。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6"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szCs w:val="24"/>
                <w:highlight w:val="yellow"/>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Cs/>
                <w:sz w:val="24"/>
                <w:szCs w:val="24"/>
              </w:rPr>
            </w:pPr>
          </w:p>
        </w:tc>
        <w:tc>
          <w:tcPr>
            <w:tcW w:w="1134"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bCs/>
                <w:sz w:val="24"/>
                <w:szCs w:val="24"/>
              </w:rPr>
            </w:pPr>
            <w:r>
              <w:rPr>
                <w:rFonts w:hint="eastAsia" w:ascii="仿宋_GB2312" w:hAnsi="宋体" w:eastAsia="仿宋_GB2312"/>
                <w:bCs/>
                <w:sz w:val="24"/>
                <w:szCs w:val="24"/>
              </w:rPr>
              <w:t>网络维护人员人工成本标准（地铁）</w:t>
            </w:r>
          </w:p>
        </w:tc>
        <w:tc>
          <w:tcPr>
            <w:tcW w:w="3967"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bCs/>
                <w:sz w:val="24"/>
                <w:szCs w:val="24"/>
              </w:rPr>
            </w:pPr>
            <w:r>
              <w:rPr>
                <w:rFonts w:hint="eastAsia" w:ascii="仿宋_GB2312" w:hAnsi="宋体" w:eastAsia="仿宋_GB2312"/>
                <w:bCs/>
                <w:sz w:val="24"/>
                <w:szCs w:val="24"/>
              </w:rPr>
              <w:t>网管人员15000元/月/人×10人</w:t>
            </w:r>
          </w:p>
          <w:p>
            <w:pPr>
              <w:rPr>
                <w:rFonts w:hint="eastAsia" w:ascii="仿宋_GB2312" w:hAnsi="宋体" w:eastAsia="仿宋_GB2312"/>
                <w:bCs/>
                <w:sz w:val="24"/>
                <w:szCs w:val="24"/>
              </w:rPr>
            </w:pPr>
            <w:r>
              <w:rPr>
                <w:rFonts w:hint="eastAsia" w:ascii="仿宋_GB2312" w:hAnsi="宋体" w:eastAsia="仿宋_GB2312"/>
                <w:bCs/>
                <w:sz w:val="24"/>
                <w:szCs w:val="24"/>
              </w:rPr>
              <w:t>维护人员9000元/月/人×15人</w:t>
            </w:r>
          </w:p>
          <w:p>
            <w:pPr>
              <w:rPr>
                <w:rFonts w:hint="eastAsia" w:ascii="仿宋_GB2312" w:hAnsi="宋体" w:eastAsia="仿宋_GB2312"/>
                <w:bCs/>
                <w:sz w:val="24"/>
                <w:szCs w:val="24"/>
              </w:rPr>
            </w:pPr>
            <w:r>
              <w:rPr>
                <w:rFonts w:hint="eastAsia" w:ascii="仿宋_GB2312" w:hAnsi="宋体" w:eastAsia="仿宋_GB2312"/>
                <w:bCs/>
                <w:sz w:val="24"/>
                <w:szCs w:val="24"/>
              </w:rPr>
              <w:t>值班人员5500元/月/人×26人</w:t>
            </w:r>
          </w:p>
          <w:p>
            <w:pPr>
              <w:rPr>
                <w:rFonts w:hint="eastAsia" w:ascii="仿宋_GB2312" w:hAnsi="宋体" w:eastAsia="仿宋_GB2312"/>
                <w:bCs/>
                <w:sz w:val="24"/>
                <w:szCs w:val="24"/>
              </w:rPr>
            </w:pPr>
            <w:r>
              <w:rPr>
                <w:rFonts w:hint="eastAsia" w:ascii="仿宋_GB2312" w:hAnsi="宋体" w:eastAsia="仿宋_GB2312"/>
                <w:bCs/>
                <w:sz w:val="24"/>
                <w:szCs w:val="24"/>
              </w:rPr>
              <w:t>工程建设管理人员13000元/月/人×5人</w:t>
            </w:r>
          </w:p>
          <w:p>
            <w:pPr>
              <w:rPr>
                <w:rFonts w:hint="eastAsia" w:ascii="仿宋_GB2312" w:hAnsi="宋体" w:eastAsia="仿宋_GB2312"/>
                <w:bCs/>
                <w:sz w:val="24"/>
                <w:szCs w:val="24"/>
              </w:rPr>
            </w:pPr>
            <w:r>
              <w:rPr>
                <w:rFonts w:hint="eastAsia" w:ascii="仿宋_GB2312" w:hAnsi="宋体" w:eastAsia="仿宋_GB2312"/>
                <w:bCs/>
                <w:sz w:val="24"/>
                <w:szCs w:val="24"/>
              </w:rPr>
              <w:t>管理人员平均12500元/月/人×8人</w:t>
            </w:r>
          </w:p>
          <w:p>
            <w:pPr>
              <w:rPr>
                <w:rFonts w:ascii="仿宋_GB2312" w:hAnsi="宋体" w:eastAsia="仿宋_GB2312"/>
                <w:bCs/>
                <w:sz w:val="24"/>
                <w:szCs w:val="24"/>
              </w:rPr>
            </w:pPr>
            <w:r>
              <w:rPr>
                <w:rFonts w:hint="eastAsia" w:ascii="仿宋_GB2312" w:hAnsi="宋体" w:eastAsia="仿宋_GB2312"/>
                <w:bCs/>
                <w:sz w:val="24"/>
                <w:szCs w:val="24"/>
              </w:rPr>
              <w:t>维护地铁1、2、5、10、机场线人员定额为64人，以后维护范围每增加10座地下车站，增加人员定额3-5名。</w:t>
            </w:r>
          </w:p>
        </w:tc>
        <w:tc>
          <w:tcPr>
            <w:tcW w:w="3825"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bCs/>
                <w:sz w:val="24"/>
                <w:szCs w:val="24"/>
              </w:rPr>
            </w:pPr>
            <w:r>
              <w:rPr>
                <w:rFonts w:hint="eastAsia" w:ascii="仿宋_GB2312" w:hAnsi="宋体" w:eastAsia="仿宋_GB2312"/>
                <w:bCs/>
                <w:sz w:val="24"/>
                <w:szCs w:val="24"/>
              </w:rPr>
              <w:t>依据上一年度1月1日至12月31日的人工成本明细帐计算。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szCs w:val="24"/>
                <w:highlight w:val="yellow"/>
              </w:rPr>
            </w:pPr>
          </w:p>
        </w:tc>
        <w:tc>
          <w:tcPr>
            <w:tcW w:w="710"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bCs/>
                <w:sz w:val="24"/>
                <w:szCs w:val="24"/>
              </w:rPr>
            </w:pPr>
            <w:r>
              <w:rPr>
                <w:rFonts w:hint="eastAsia" w:ascii="仿宋_GB2312" w:hAnsi="宋体" w:eastAsia="仿宋_GB2312"/>
                <w:bCs/>
                <w:sz w:val="24"/>
                <w:szCs w:val="24"/>
              </w:rPr>
              <w:t>2.7生产用交通费</w:t>
            </w:r>
          </w:p>
        </w:tc>
        <w:tc>
          <w:tcPr>
            <w:tcW w:w="5101" w:type="dxa"/>
            <w:gridSpan w:val="2"/>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bCs/>
                <w:sz w:val="24"/>
                <w:szCs w:val="24"/>
              </w:rPr>
            </w:pPr>
            <w:r>
              <w:rPr>
                <w:rFonts w:hint="eastAsia" w:ascii="仿宋_GB2312" w:hAnsi="宋体" w:eastAsia="仿宋_GB2312"/>
                <w:bCs/>
                <w:sz w:val="24"/>
                <w:szCs w:val="24"/>
              </w:rPr>
              <w:t>生产用交通费，指运维所需车辆及交通费用（包括保险费、停车费、加油费、修理费等），按年支付。非地铁用网络维护生产用交通费不超过48万元/年，地铁用网络维护生产用交通费不超过16万元/年。</w:t>
            </w:r>
          </w:p>
        </w:tc>
        <w:tc>
          <w:tcPr>
            <w:tcW w:w="3825"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bCs/>
                <w:sz w:val="24"/>
                <w:szCs w:val="24"/>
              </w:rPr>
            </w:pPr>
            <w:r>
              <w:rPr>
                <w:rFonts w:hint="eastAsia" w:ascii="仿宋_GB2312" w:hAnsi="宋体" w:eastAsia="仿宋_GB2312"/>
                <w:bCs/>
                <w:sz w:val="24"/>
                <w:szCs w:val="24"/>
              </w:rPr>
              <w:t>上一年度1月1日至12月31日的实际发生的车辆停车费、加油费、修理费、保险费等相关费用的支付凭证，如实际支付未超过控制金额，评审依据实际支出；如超过控制金额，则按照上限控制金额评审。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trPr>
        <w:tc>
          <w:tcPr>
            <w:tcW w:w="708" w:type="dxa"/>
            <w:tcBorders>
              <w:top w:val="single" w:color="auto" w:sz="4" w:space="0"/>
              <w:left w:val="single" w:color="auto" w:sz="4" w:space="0"/>
              <w:bottom w:val="single" w:color="auto" w:sz="4" w:space="0"/>
              <w:right w:val="single" w:color="auto" w:sz="4" w:space="0"/>
            </w:tcBorders>
            <w:textDirection w:val="tbRlV"/>
            <w:vAlign w:val="top"/>
          </w:tcPr>
          <w:p>
            <w:pPr>
              <w:ind w:left="113" w:right="113"/>
              <w:jc w:val="center"/>
              <w:rPr>
                <w:rFonts w:ascii="仿宋_GB2312" w:hAnsi="宋体" w:eastAsia="仿宋_GB2312"/>
                <w:sz w:val="24"/>
                <w:szCs w:val="24"/>
              </w:rPr>
            </w:pPr>
            <w:r>
              <w:rPr>
                <w:rFonts w:hint="eastAsia" w:ascii="仿宋_GB2312" w:hAnsi="宋体" w:eastAsia="仿宋_GB2312"/>
                <w:sz w:val="24"/>
                <w:szCs w:val="24"/>
              </w:rPr>
              <w:t>3.培训费用</w:t>
            </w:r>
          </w:p>
        </w:tc>
        <w:tc>
          <w:tcPr>
            <w:tcW w:w="5811" w:type="dxa"/>
            <w:gridSpan w:val="3"/>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sz w:val="24"/>
                <w:szCs w:val="24"/>
                <w:highlight w:val="yellow"/>
              </w:rPr>
            </w:pPr>
            <w:r>
              <w:rPr>
                <w:rFonts w:hint="eastAsia" w:ascii="仿宋_GB2312" w:hAnsi="宋体" w:eastAsia="仿宋_GB2312"/>
                <w:bCs/>
                <w:sz w:val="24"/>
                <w:szCs w:val="24"/>
              </w:rPr>
              <w:t>培训费用按照上年1月1日-12月31日实际发生金额编制，培训费不超过40万元/年。食宿标准参照北京市国家机关和事业单位定点会议标准执行。授课费用参照财政专家费标准执行。</w:t>
            </w:r>
          </w:p>
        </w:tc>
        <w:tc>
          <w:tcPr>
            <w:tcW w:w="3825" w:type="dxa"/>
            <w:tcBorders>
              <w:top w:val="single" w:color="auto" w:sz="4" w:space="0"/>
              <w:left w:val="single" w:color="auto" w:sz="4" w:space="0"/>
              <w:bottom w:val="single" w:color="auto" w:sz="4" w:space="0"/>
              <w:right w:val="single" w:color="auto" w:sz="4" w:space="0"/>
            </w:tcBorders>
            <w:vAlign w:val="top"/>
          </w:tcPr>
          <w:p>
            <w:pPr>
              <w:numPr>
                <w:ilvl w:val="0"/>
                <w:numId w:val="4"/>
              </w:numPr>
              <w:rPr>
                <w:rFonts w:ascii="仿宋_GB2312" w:hAnsi="宋体" w:eastAsia="仿宋_GB2312"/>
                <w:bCs/>
                <w:sz w:val="24"/>
                <w:szCs w:val="24"/>
              </w:rPr>
            </w:pPr>
            <w:r>
              <w:rPr>
                <w:rFonts w:hint="eastAsia" w:ascii="仿宋_GB2312" w:hAnsi="宋体" w:eastAsia="仿宋_GB2312"/>
                <w:bCs/>
                <w:sz w:val="24"/>
                <w:szCs w:val="24"/>
              </w:rPr>
              <w:t>依据上年1月1日-12月31日实际为正式员工培训支付的培训费的付款凭证、实际为客户培训签定的培训合同及付款凭证。</w:t>
            </w:r>
          </w:p>
          <w:p>
            <w:pPr>
              <w:numPr>
                <w:ilvl w:val="0"/>
                <w:numId w:val="4"/>
              </w:numPr>
              <w:rPr>
                <w:rFonts w:hint="eastAsia" w:ascii="仿宋_GB2312" w:hAnsi="宋体" w:eastAsia="仿宋_GB2312"/>
                <w:bCs/>
                <w:sz w:val="24"/>
                <w:szCs w:val="24"/>
              </w:rPr>
            </w:pPr>
            <w:r>
              <w:rPr>
                <w:rFonts w:hint="eastAsia" w:ascii="仿宋_GB2312" w:hAnsi="宋体" w:eastAsia="仿宋_GB2312"/>
                <w:bCs/>
                <w:sz w:val="24"/>
                <w:szCs w:val="24"/>
              </w:rPr>
              <w:t>依据食宿标准和培训合同签订培训时间计算的相关食宿费用。</w:t>
            </w:r>
          </w:p>
          <w:p>
            <w:pPr>
              <w:numPr>
                <w:ilvl w:val="0"/>
                <w:numId w:val="4"/>
              </w:numPr>
              <w:rPr>
                <w:rFonts w:hint="eastAsia" w:ascii="仿宋_GB2312" w:hAnsi="宋体" w:eastAsia="仿宋_GB2312"/>
                <w:bCs/>
                <w:sz w:val="24"/>
                <w:szCs w:val="24"/>
              </w:rPr>
            </w:pPr>
            <w:r>
              <w:rPr>
                <w:rFonts w:hint="eastAsia" w:ascii="仿宋_GB2312" w:hAnsi="宋体" w:eastAsia="仿宋_GB2312"/>
                <w:bCs/>
                <w:sz w:val="24"/>
                <w:szCs w:val="24"/>
              </w:rPr>
              <w:t>培训费用的内容、人数、时间、地点等对应的结算资料。</w:t>
            </w:r>
          </w:p>
          <w:p>
            <w:pPr>
              <w:numPr>
                <w:ilvl w:val="0"/>
                <w:numId w:val="4"/>
              </w:numPr>
              <w:rPr>
                <w:rFonts w:ascii="仿宋_GB2312" w:hAnsi="宋体" w:eastAsia="仿宋_GB2312"/>
                <w:bCs/>
                <w:sz w:val="24"/>
                <w:szCs w:val="24"/>
              </w:rPr>
            </w:pPr>
            <w:r>
              <w:rPr>
                <w:rFonts w:hint="eastAsia" w:ascii="仿宋_GB2312" w:hAnsi="宋体" w:eastAsia="仿宋_GB2312"/>
                <w:bCs/>
                <w:sz w:val="24"/>
                <w:szCs w:val="24"/>
              </w:rPr>
              <w:t>如实际支付未超过控制金额，评审依据实际支出；如超过控制金额，则按照上限控制金额评审。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trPr>
        <w:tc>
          <w:tcPr>
            <w:tcW w:w="708" w:type="dxa"/>
            <w:tcBorders>
              <w:top w:val="single" w:color="auto" w:sz="4" w:space="0"/>
              <w:left w:val="single" w:color="auto" w:sz="4" w:space="0"/>
              <w:bottom w:val="single" w:color="auto" w:sz="4" w:space="0"/>
              <w:right w:val="single" w:color="auto" w:sz="4" w:space="0"/>
            </w:tcBorders>
            <w:textDirection w:val="tbRlV"/>
            <w:vAlign w:val="top"/>
          </w:tcPr>
          <w:p>
            <w:pPr>
              <w:ind w:left="113" w:right="113"/>
              <w:jc w:val="center"/>
              <w:rPr>
                <w:rFonts w:ascii="仿宋_GB2312" w:hAnsi="宋体" w:eastAsia="仿宋_GB2312"/>
                <w:sz w:val="24"/>
                <w:szCs w:val="24"/>
              </w:rPr>
            </w:pPr>
            <w:r>
              <w:rPr>
                <w:rFonts w:hint="eastAsia" w:ascii="仿宋_GB2312" w:hAnsi="宋体" w:eastAsia="仿宋_GB2312"/>
                <w:sz w:val="24"/>
                <w:szCs w:val="24"/>
              </w:rPr>
              <w:t>4.管理费及利润</w:t>
            </w:r>
          </w:p>
        </w:tc>
        <w:tc>
          <w:tcPr>
            <w:tcW w:w="5811" w:type="dxa"/>
            <w:gridSpan w:val="3"/>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bCs/>
                <w:sz w:val="24"/>
                <w:szCs w:val="24"/>
              </w:rPr>
            </w:pPr>
            <w:r>
              <w:rPr>
                <w:rFonts w:hint="eastAsia" w:ascii="仿宋_GB2312" w:hAnsi="宋体" w:eastAsia="仿宋_GB2312"/>
                <w:bCs/>
                <w:sz w:val="24"/>
                <w:szCs w:val="24"/>
              </w:rPr>
              <w:t>4.管理费是指网络运营商管理部门为组织和管理企业生产经营活动而发生的各项费用。管理费包括工资、办公费、差旅、车辆、物业及其他。利润指企业销售产品的收入扣除成本价格和税金以后的余额。地铁内网络部分暂不计提管理费及利润。管理费及利润采用固定值计算，</w:t>
            </w:r>
            <w:r>
              <w:rPr>
                <w:rFonts w:hint="eastAsia" w:ascii="仿宋_GB2312" w:eastAsia="仿宋_GB2312"/>
                <w:sz w:val="24"/>
                <w:szCs w:val="24"/>
              </w:rPr>
              <w:t xml:space="preserve">以2011年度决算财政评审审定的固定资产折旧和无形资产摊销、维护成本两项总和20%计算2011至2013年每年的管理费及利润，三年不变，以后每三年可调整一次。为鼓励网络运营商降低运维成本，若以后年度固定资产折旧和无形资产摊销、维护成本两项总和低于2011年决算财政评审审定数，则以减少部分的10%作为奖励，计入管理费及利润。 </w:t>
            </w:r>
          </w:p>
        </w:tc>
        <w:tc>
          <w:tcPr>
            <w:tcW w:w="3825"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bCs/>
                <w:sz w:val="24"/>
                <w:szCs w:val="24"/>
              </w:rPr>
            </w:pPr>
            <w:r>
              <w:rPr>
                <w:rFonts w:hint="eastAsia" w:ascii="仿宋_GB2312" w:hAnsi="宋体" w:eastAsia="仿宋_GB2312"/>
                <w:bCs/>
                <w:sz w:val="24"/>
                <w:szCs w:val="24"/>
              </w:rPr>
              <w:t>依据本规定计算。</w:t>
            </w:r>
          </w:p>
          <w:p>
            <w:pPr>
              <w:rPr>
                <w:rFonts w:ascii="仿宋_GB2312" w:hAnsi="宋体" w:eastAsia="仿宋_GB2312"/>
                <w:bCs/>
                <w:sz w:val="24"/>
                <w:szCs w:val="24"/>
              </w:rPr>
            </w:pPr>
            <w:r>
              <w:rPr>
                <w:rFonts w:hint="eastAsia" w:ascii="仿宋_GB2312" w:hAnsi="宋体" w:eastAsia="仿宋_GB2312"/>
                <w:bCs/>
                <w:sz w:val="24"/>
                <w:szCs w:val="24"/>
              </w:rPr>
              <w:t>以2011年度决算评审数据为依据。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8" w:hRule="atLeast"/>
        </w:trPr>
        <w:tc>
          <w:tcPr>
            <w:tcW w:w="708" w:type="dxa"/>
            <w:tcBorders>
              <w:top w:val="single" w:color="auto" w:sz="4" w:space="0"/>
              <w:left w:val="single" w:color="auto" w:sz="4" w:space="0"/>
              <w:bottom w:val="single" w:color="auto" w:sz="4" w:space="0"/>
              <w:right w:val="single" w:color="auto" w:sz="4" w:space="0"/>
            </w:tcBorders>
            <w:textDirection w:val="tbRlV"/>
            <w:vAlign w:val="top"/>
          </w:tcPr>
          <w:p>
            <w:pPr>
              <w:ind w:left="113" w:right="113"/>
              <w:jc w:val="center"/>
              <w:rPr>
                <w:rFonts w:ascii="仿宋_GB2312" w:hAnsi="宋体" w:eastAsia="仿宋_GB2312"/>
                <w:sz w:val="24"/>
                <w:szCs w:val="24"/>
              </w:rPr>
            </w:pPr>
            <w:r>
              <w:rPr>
                <w:rFonts w:hint="eastAsia" w:ascii="仿宋_GB2312" w:hAnsi="宋体" w:eastAsia="仿宋_GB2312"/>
                <w:sz w:val="24"/>
                <w:szCs w:val="24"/>
              </w:rPr>
              <w:t>5.税金</w:t>
            </w:r>
          </w:p>
        </w:tc>
        <w:tc>
          <w:tcPr>
            <w:tcW w:w="5811" w:type="dxa"/>
            <w:gridSpan w:val="3"/>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bCs/>
                <w:sz w:val="24"/>
                <w:szCs w:val="24"/>
              </w:rPr>
            </w:pPr>
            <w:r>
              <w:rPr>
                <w:rFonts w:hint="eastAsia" w:ascii="仿宋_GB2312" w:hAnsi="宋体" w:eastAsia="仿宋_GB2312"/>
                <w:bCs/>
                <w:sz w:val="24"/>
                <w:szCs w:val="24"/>
              </w:rPr>
              <w:t>5.1 年税金计算额：非地铁内网络为固定资产折旧和软件摊销费用、维护成本、培训费用、管理费及利润五项总和的3.36%。</w:t>
            </w:r>
          </w:p>
          <w:p>
            <w:pPr>
              <w:rPr>
                <w:rFonts w:ascii="仿宋_GB2312" w:hAnsi="宋体" w:eastAsia="仿宋_GB2312"/>
                <w:sz w:val="24"/>
                <w:szCs w:val="24"/>
                <w:highlight w:val="yellow"/>
              </w:rPr>
            </w:pPr>
            <w:r>
              <w:rPr>
                <w:rFonts w:hint="eastAsia" w:ascii="仿宋_GB2312" w:hAnsi="宋体" w:eastAsia="仿宋_GB2312"/>
                <w:bCs/>
                <w:sz w:val="24"/>
                <w:szCs w:val="24"/>
              </w:rPr>
              <w:t>地铁内网络地铁内网络为维护成本、培训费用、管理费及利润四项总和的5.6%。</w:t>
            </w:r>
          </w:p>
        </w:tc>
        <w:tc>
          <w:tcPr>
            <w:tcW w:w="3825"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bCs/>
                <w:sz w:val="24"/>
                <w:szCs w:val="24"/>
              </w:rPr>
            </w:pPr>
            <w:r>
              <w:rPr>
                <w:rFonts w:hint="eastAsia" w:ascii="仿宋_GB2312" w:hAnsi="宋体" w:eastAsia="仿宋_GB2312"/>
                <w:bCs/>
                <w:sz w:val="24"/>
                <w:szCs w:val="24"/>
              </w:rPr>
              <w:t>非地铁内网络依据固定资产折旧和软件摊销费用、维护成本、培训费用、管理费及利润五项总和除以【1/（1-3.336%）】再乘以3.36%计算公式取得。</w:t>
            </w:r>
          </w:p>
          <w:p>
            <w:pPr>
              <w:rPr>
                <w:rFonts w:ascii="仿宋_GB2312" w:hAnsi="宋体" w:eastAsia="仿宋_GB2312"/>
                <w:bCs/>
                <w:sz w:val="24"/>
                <w:szCs w:val="24"/>
              </w:rPr>
            </w:pPr>
            <w:r>
              <w:rPr>
                <w:rFonts w:hint="eastAsia" w:ascii="仿宋_GB2312" w:hAnsi="宋体" w:eastAsia="仿宋_GB2312"/>
                <w:bCs/>
                <w:sz w:val="24"/>
                <w:szCs w:val="24"/>
              </w:rPr>
              <w:t>地铁运维费税金按以上计算公式，5.6%税率计算。</w:t>
            </w:r>
          </w:p>
        </w:tc>
      </w:tr>
    </w:tbl>
    <w:p>
      <w:pPr>
        <w:rPr>
          <w:rFonts w:hint="eastAsia"/>
        </w:rPr>
      </w:pPr>
    </w:p>
    <w:p/>
    <w:p/>
    <w:p/>
    <w:p/>
    <w:p/>
    <w:p/>
    <w:p/>
    <w:p>
      <w:pPr>
        <w:rPr>
          <w:rFonts w:hint="eastAsia"/>
        </w:rPr>
      </w:pPr>
    </w:p>
    <w:p>
      <w:pPr>
        <w:tabs>
          <w:tab w:val="left" w:pos="6585"/>
        </w:tabs>
        <w:rPr>
          <w:rFonts w:hint="eastAsia"/>
        </w:rPr>
      </w:pPr>
      <w:r>
        <w:tab/>
      </w:r>
    </w:p>
    <w:p/>
    <w:sectPr>
      <w:footerReference r:id="rId3" w:type="default"/>
      <w:footerReference r:id="rId4" w:type="even"/>
      <w:pgSz w:w="11906" w:h="16838"/>
      <w:pgMar w:top="1911" w:right="1474" w:bottom="1882" w:left="1588" w:header="851" w:footer="153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jc w:val="right"/>
      <w:rPr>
        <w:rStyle w:val="4"/>
        <w:rFonts w:hint="eastAsia" w:ascii="宋体" w:hAnsi="宋体"/>
        <w:sz w:val="28"/>
        <w:szCs w:val="28"/>
      </w:rPr>
    </w:pPr>
    <w:r>
      <w:rPr>
        <w:rStyle w:val="4"/>
        <w:rFonts w:hint="eastAsia" w:ascii="宋体" w:hAnsi="宋体"/>
        <w:sz w:val="28"/>
        <w:szCs w:val="28"/>
      </w:rPr>
      <w:fldChar w:fldCharType="begin"/>
    </w:r>
    <w:r>
      <w:rPr>
        <w:rStyle w:val="4"/>
        <w:rFonts w:hint="eastAsia" w:ascii="宋体" w:hAnsi="宋体"/>
        <w:sz w:val="28"/>
        <w:szCs w:val="28"/>
      </w:rPr>
      <w:instrText xml:space="preserve">PAGE  </w:instrText>
    </w:r>
    <w:r>
      <w:rPr>
        <w:rStyle w:val="4"/>
        <w:rFonts w:hint="eastAsia" w:ascii="宋体" w:hAnsi="宋体"/>
        <w:sz w:val="28"/>
        <w:szCs w:val="28"/>
      </w:rPr>
      <w:fldChar w:fldCharType="separate"/>
    </w:r>
    <w:r>
      <w:rPr>
        <w:rStyle w:val="4"/>
        <w:rFonts w:ascii="宋体" w:hAnsi="宋体"/>
        <w:sz w:val="28"/>
        <w:szCs w:val="28"/>
      </w:rPr>
      <w:t>- 11 -</w:t>
    </w:r>
    <w:r>
      <w:rPr>
        <w:rStyle w:val="4"/>
        <w:rFonts w:hint="eastAsia" w:ascii="宋体" w:hAnsi="宋体"/>
        <w:sz w:val="28"/>
        <w:szCs w:val="28"/>
      </w:rPr>
      <w:fldChar w:fldCharType="end"/>
    </w:r>
  </w:p>
  <w:p>
    <w:pPr>
      <w:pStyle w:val="2"/>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hint="eastAsia" w:ascii="仿宋_GB2312" w:eastAsia="仿宋_GB2312"/>
        <w:sz w:val="28"/>
        <w:szCs w:val="28"/>
      </w:rPr>
    </w:pPr>
    <w:r>
      <w:rPr>
        <w:rStyle w:val="4"/>
        <w:rFonts w:hint="eastAsia" w:ascii="仿宋_GB2312" w:eastAsia="仿宋_GB2312"/>
        <w:sz w:val="28"/>
        <w:szCs w:val="28"/>
      </w:rPr>
      <w:fldChar w:fldCharType="begin"/>
    </w:r>
    <w:r>
      <w:rPr>
        <w:rStyle w:val="4"/>
        <w:rFonts w:hint="eastAsia" w:ascii="仿宋_GB2312" w:eastAsia="仿宋_GB2312"/>
        <w:sz w:val="28"/>
        <w:szCs w:val="28"/>
      </w:rPr>
      <w:instrText xml:space="preserve">PAGE  </w:instrText>
    </w:r>
    <w:r>
      <w:rPr>
        <w:rStyle w:val="4"/>
        <w:rFonts w:hint="eastAsia" w:ascii="仿宋_GB2312" w:eastAsia="仿宋_GB2312"/>
        <w:sz w:val="28"/>
        <w:szCs w:val="28"/>
      </w:rPr>
      <w:fldChar w:fldCharType="separate"/>
    </w:r>
    <w:r>
      <w:rPr>
        <w:rStyle w:val="4"/>
        <w:rFonts w:ascii="仿宋_GB2312" w:eastAsia="仿宋_GB2312"/>
        <w:sz w:val="28"/>
        <w:szCs w:val="28"/>
      </w:rPr>
      <w:t>- 2 -</w:t>
    </w:r>
    <w:r>
      <w:rPr>
        <w:rStyle w:val="4"/>
        <w:rFonts w:hint="eastAsia" w:ascii="仿宋_GB2312" w:eastAsia="仿宋_GB2312"/>
        <w:sz w:val="28"/>
        <w:szCs w:val="28"/>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444B4"/>
    <w:multiLevelType w:val="multilevel"/>
    <w:tmpl w:val="286444B4"/>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81F48D2"/>
    <w:multiLevelType w:val="multilevel"/>
    <w:tmpl w:val="381F48D2"/>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B6E2F23"/>
    <w:multiLevelType w:val="multilevel"/>
    <w:tmpl w:val="3B6E2F23"/>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6AF2E76"/>
    <w:multiLevelType w:val="multilevel"/>
    <w:tmpl w:val="56AF2E76"/>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7646E"/>
    <w:rsid w:val="7B77646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20"/>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2016-12-13T01:52:00Z</dcterms:created>
  <dc:creator>banruo</dc:creator>
  <cp:lastModifiedBy>banruo</cp:lastModifiedBy>
  <dcterms:modified xsi:type="dcterms:W3CDTF">2016-12-13T01:53:06Z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