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附件1：</w:t>
      </w:r>
    </w:p>
    <w:p>
      <w:pPr>
        <w:spacing w:line="400" w:lineRule="exact"/>
        <w:ind w:right="42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00" w:lineRule="exact"/>
        <w:ind w:right="420" w:firstLine="720" w:firstLineChars="200"/>
        <w:rPr>
          <w:rFonts w:hint="eastAsia" w:ascii="方正小标宋_GBK" w:hAnsi="宋体" w:eastAsia="方正小标宋_GBK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/>
          <w:color w:val="000000"/>
          <w:sz w:val="36"/>
          <w:szCs w:val="36"/>
        </w:rPr>
        <w:t>初、中级卫生专业技术资格考试报名条件</w:t>
      </w:r>
    </w:p>
    <w:bookmarkEnd w:id="0"/>
    <w:p>
      <w:pPr>
        <w:spacing w:line="400" w:lineRule="exact"/>
        <w:ind w:right="420" w:firstLine="720" w:firstLineChars="200"/>
        <w:rPr>
          <w:rFonts w:hint="eastAsia" w:ascii="方正小标宋_GBK" w:hAnsi="宋体" w:eastAsia="方正小标宋_GBK"/>
          <w:color w:val="000000"/>
          <w:sz w:val="36"/>
          <w:szCs w:val="36"/>
        </w:rPr>
      </w:pPr>
    </w:p>
    <w:p>
      <w:pPr>
        <w:spacing w:line="440" w:lineRule="exact"/>
        <w:ind w:right="420" w:firstLine="55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在北京地区经国家或有关部门批准的医疗卫生机构内，从事医疗、预防、保健、药学、护理、其他卫生技术专业工作的人员，可报名参加北京地区卫生专业技术资格考试。</w:t>
      </w:r>
    </w:p>
    <w:p>
      <w:pPr>
        <w:spacing w:line="440" w:lineRule="exact"/>
        <w:ind w:right="420" w:firstLine="55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报名参加北京地区卫生专业技术资格考试的人员，要遵守中华人民共和国的宪法和法律，具备良好的医德医风和敬业精神，同时具备下列相应条件：</w:t>
      </w:r>
    </w:p>
    <w:p>
      <w:pPr>
        <w:numPr>
          <w:ilvl w:val="0"/>
          <w:numId w:val="1"/>
        </w:numPr>
        <w:spacing w:line="440" w:lineRule="exact"/>
        <w:ind w:right="42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参加药（技）士资格考试</w:t>
      </w:r>
    </w:p>
    <w:p>
      <w:pPr>
        <w:spacing w:line="440" w:lineRule="exact"/>
        <w:ind w:left="555" w:right="42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取得相应专业中专学历。</w:t>
      </w:r>
    </w:p>
    <w:p>
      <w:pPr>
        <w:spacing w:line="500" w:lineRule="exact"/>
        <w:ind w:firstLine="57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</w:t>
      </w:r>
      <w:r>
        <w:rPr>
          <w:rFonts w:hint="eastAsia" w:ascii="黑体" w:hAnsi="宋体" w:eastAsia="黑体"/>
          <w:color w:val="000000"/>
          <w:sz w:val="32"/>
          <w:szCs w:val="32"/>
        </w:rPr>
        <w:t>参加药（护、技）师资格考试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（一）取得相应专业中专学历，受聘担任药（护、技）士职务满5年；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（二）取得相应专业专科学历、从事本专业技术工作满2年；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（三）取得相应专业本科学历或硕士学位。</w:t>
      </w:r>
    </w:p>
    <w:p>
      <w:pPr>
        <w:spacing w:line="50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护理、助产专业本科以上学历的人员，参加护士执业资格考试并成绩合格，可以取得护理初级（士）专业技术资格证书；在达到《卫生技术人员职务试行条例》规定的护师专业技术职务任职资格年限后，可直接聘任护师专业技术职务。</w:t>
      </w:r>
    </w:p>
    <w:p>
      <w:pPr>
        <w:spacing w:line="440" w:lineRule="exact"/>
        <w:ind w:right="420"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宋体" w:eastAsia="黑体"/>
          <w:color w:val="000000"/>
          <w:sz w:val="32"/>
          <w:szCs w:val="32"/>
        </w:rPr>
        <w:t>参加中级资格考试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（一）取得相应专业中专学历，受聘担任医（药、护、技）师职务满7年；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（二）取得相应专业专科学历，受聘担任医（药、护、技）师职务满6年；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（三）取得相应专业本科学历，受聘担任医（药、护、技）师职务满4年；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（四）取得相应专业硕士学位，受聘担任医（药、护、技）师职务满2年；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（五）取得相应专业博士学位。（其中参加临床医学、中医、预防医学中级资格考试的人员必须先取得执业医师资格）。</w:t>
      </w:r>
    </w:p>
    <w:p>
      <w:pPr>
        <w:spacing w:line="440" w:lineRule="exact"/>
        <w:ind w:right="420"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凡在北京市社区卫生服务中心（站）工作的医师、护师，可提前一年参加中级卫生专业技术资格的全科医学、社区护理专业类别的考试。</w:t>
      </w:r>
    </w:p>
    <w:p>
      <w:pPr>
        <w:pStyle w:val="2"/>
        <w:spacing w:before="0" w:beforeLines="0" w:beforeAutospacing="0" w:after="0" w:afterLines="0" w:afterAutospacing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对2012年以后毕业的医学本科及以上学历毕业生，北京地区各级各类医疗卫生机构须将《住院医师规范化培训合格证书》作为本人参加中级临床医学专业技术资格考试的必备条件之一。</w:t>
      </w: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40" w:lineRule="exact"/>
        <w:ind w:right="420"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有下列情形之一的，不得申请参加卫生专业技术资格考试：</w:t>
      </w:r>
    </w:p>
    <w:p>
      <w:pPr>
        <w:spacing w:line="440" w:lineRule="exact"/>
        <w:ind w:right="420" w:firstLine="480" w:firstLineChars="1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（一）医疗事故责任者未满3年；</w:t>
      </w:r>
    </w:p>
    <w:p>
      <w:pPr>
        <w:spacing w:line="440" w:lineRule="exact"/>
        <w:ind w:right="420" w:firstLine="480" w:firstLineChars="1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（二）医疗差错责任者未满1年；</w:t>
      </w:r>
    </w:p>
    <w:p>
      <w:pPr>
        <w:spacing w:line="440" w:lineRule="exact"/>
        <w:ind w:right="420" w:firstLine="480" w:firstLineChars="1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</w:t>
      </w:r>
      <w:r>
        <w:rPr>
          <w:rFonts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受到行政处分者未满2年；</w:t>
      </w:r>
    </w:p>
    <w:p>
      <w:pPr>
        <w:spacing w:line="440" w:lineRule="exact"/>
        <w:ind w:right="420" w:firstLine="480" w:firstLineChars="1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（四）伪造学历或考试期间有违纪行为未满2年；</w:t>
      </w:r>
    </w:p>
    <w:p>
      <w:pPr>
        <w:spacing w:line="540" w:lineRule="exact"/>
        <w:ind w:firstLine="480" w:firstLineChars="1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（五）市卫生行政部门规定的其他情形。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1275"/>
        </w:tabs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4EE6"/>
    <w:rsid w:val="38E44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2016-12-12T07:51:00Z</dcterms:created>
  <dc:creator>banruo</dc:creator>
  <cp:lastModifiedBy>banruo</cp:lastModifiedBy>
  <dcterms:modified xsi:type="dcterms:W3CDTF">2016-12-12T07:51:56Z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