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mbria" w:eastAsia="仿宋_GB2312"/>
          <w:b/>
          <w:sz w:val="32"/>
          <w:szCs w:val="32"/>
        </w:rPr>
      </w:pPr>
      <w:r>
        <w:rPr>
          <w:rFonts w:hint="eastAsia" w:ascii="仿宋_GB2312" w:hAnsi="Cambria" w:eastAsia="仿宋_GB2312"/>
          <w:b/>
          <w:sz w:val="32"/>
          <w:szCs w:val="32"/>
        </w:rPr>
        <w:t>区县科普专项资金预算控制数各因素差异系数</w:t>
      </w:r>
    </w:p>
    <w:p>
      <w:pPr>
        <w:jc w:val="center"/>
        <w:rPr>
          <w:rFonts w:hint="eastAsia" w:ascii="仿宋_GB2312" w:hAnsi="Cambria" w:eastAsia="仿宋_GB2312"/>
          <w:b/>
          <w:sz w:val="32"/>
          <w:szCs w:val="32"/>
        </w:rPr>
      </w:pPr>
      <w:r>
        <w:rPr>
          <w:rFonts w:hint="eastAsia" w:ascii="仿宋_GB2312" w:hAnsi="Cambria" w:eastAsia="仿宋_GB2312"/>
          <w:b/>
          <w:sz w:val="32"/>
          <w:szCs w:val="32"/>
        </w:rPr>
        <w:t>计算依据说明</w:t>
      </w: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tbl>
      <w:tblPr>
        <w:tblStyle w:val="3"/>
        <w:tblW w:w="9565" w:type="dxa"/>
        <w:jc w:val="center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3"/>
        <w:gridCol w:w="3018"/>
        <w:gridCol w:w="2268"/>
        <w:gridCol w:w="2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CDDD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Cambria" w:eastAsia="仿宋_GB2312"/>
                <w:b/>
                <w:sz w:val="28"/>
                <w:szCs w:val="32"/>
              </w:rPr>
              <w:t>预算控制数计算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决定因素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CDDD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具体计算指标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CDDD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指标解释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3CDDD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32"/>
              </w:rPr>
              <w:t>数据来源或评分依据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科普经费投入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（权重30%）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科普经费投入/财政支出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（%）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财政统计数据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科普工作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（权重20%）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科普教育基地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（个）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中国科协综合统计调查年度报表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标准科普画廊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（米）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中国科协综合统计调查年度报表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农村科普示范基地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（个）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中国科协综合统计调查年度报表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社区（农村）专用活动室（场地）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32"/>
              </w:rPr>
              <w:t>（个）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中国科协综合统计调查年度报表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科普项目管理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（权重30%）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项目工作内容完成情况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项目是否按时完成、完成情况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附件5“区县项目总体执行情况评估报告”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项目经费的执行情况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资金支出规范合理、符合财务制度要求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附件5“区县项目总体执行情况评估报告”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项目取得的社会成效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项目工作取得良好社会成效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附件5“区县项目总体执行情况评估报告”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项目监管的有效性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区县制定科普项目管理办法并严格执行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附件5“区县项目总体执行情况评估报告”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7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评估材料填报的完整及时性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相关单位及时填报项目评估材料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32"/>
              </w:rPr>
              <w:t>附件5“区县项目总体执行情况评估报告”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功能区定位因素</w:t>
            </w:r>
          </w:p>
          <w:p>
            <w:pPr>
              <w:widowControl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32"/>
              </w:rPr>
              <w:t>（权重20%）</w:t>
            </w:r>
          </w:p>
        </w:tc>
        <w:tc>
          <w:tcPr>
            <w:tcW w:w="3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首都功能核心区系数为0；城市功能拓展区系数为0；城市发展新区系数为0.05；生态涵养发展区系数为0.15。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为重点推动远郊区县科普工作开展，设立功能区定位差异系数。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北京城市总体规划（2004-2020）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C0BC9"/>
    <w:rsid w:val="2DDC0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2016-12-16T12:29:00Z</dcterms:created>
  <dc:creator>Mmf99</dc:creator>
  <cp:lastModifiedBy>Mmf99</cp:lastModifiedBy>
  <dcterms:modified xsi:type="dcterms:W3CDTF">2016-12-16T12:31:08Z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