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</w:rPr>
      </w:pPr>
      <w:r>
        <w:rPr>
          <w:sz w:val="24"/>
        </w:rPr>
        <w:t>无机料出厂检验项目及频率</w:t>
      </w:r>
      <w:r>
        <w:rPr>
          <w:rFonts w:hint="eastAsia"/>
          <w:sz w:val="24"/>
        </w:rPr>
        <w:t>要求</w:t>
      </w:r>
    </w:p>
    <w:tbl>
      <w:tblPr>
        <w:tblStyle w:val="3"/>
        <w:tblW w:w="864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915"/>
        <w:gridCol w:w="2880"/>
        <w:gridCol w:w="3045"/>
      </w:tblGrid>
      <w:tr>
        <w:tblPrEx>
          <w:tblLayout w:type="fixed"/>
        </w:tblPrEx>
        <w:trPr>
          <w:trHeight w:val="510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序号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检验项目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检验频率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备  注</w:t>
            </w:r>
          </w:p>
        </w:tc>
      </w:tr>
      <w:tr>
        <w:tblPrEx>
          <w:tblLayout w:type="fixed"/>
        </w:tblPrEx>
        <w:trPr>
          <w:trHeight w:val="51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拌和均匀性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随时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色泽均匀、无离析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含水率</w:t>
            </w:r>
          </w:p>
        </w:tc>
        <w:tc>
          <w:tcPr>
            <w:tcW w:w="28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每工作班不少于2次</w:t>
            </w:r>
          </w:p>
        </w:tc>
        <w:tc>
          <w:tcPr>
            <w:tcW w:w="304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结合料含量</w:t>
            </w:r>
          </w:p>
        </w:tc>
        <w:tc>
          <w:tcPr>
            <w:tcW w:w="2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无侧限抗压强度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每工作班不少于2次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符合规定要求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击实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每三个工作班不少于1次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55E03"/>
    <w:rsid w:val="51355E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2016-12-20T04:37:00Z</dcterms:created>
  <dc:creator>Mmf99</dc:creator>
  <cp:lastModifiedBy>Mmf99</cp:lastModifiedBy>
  <dcterms:modified xsi:type="dcterms:W3CDTF">2016-12-20T04:37:54Z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