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</w:rPr>
      </w:pPr>
      <w:r>
        <w:rPr>
          <w:sz w:val="24"/>
        </w:rPr>
        <w:t>原材料进场检验项目及频率</w:t>
      </w:r>
      <w:r>
        <w:rPr>
          <w:rFonts w:hint="eastAsia"/>
          <w:sz w:val="24"/>
        </w:rPr>
        <w:t>要求</w:t>
      </w:r>
      <w:bookmarkStart w:id="0" w:name="_GoBack"/>
      <w:bookmarkEnd w:id="0"/>
    </w:p>
    <w:tbl>
      <w:tblPr>
        <w:tblStyle w:val="3"/>
        <w:tblW w:w="864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2880"/>
        <w:gridCol w:w="2340"/>
        <w:gridCol w:w="23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材料名称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检验项目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检验频率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备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石灰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有效钙、氧化镁含量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每500t不少于1次</w:t>
            </w:r>
          </w:p>
        </w:tc>
        <w:tc>
          <w:tcPr>
            <w:tcW w:w="23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同产地同品种，不足500t按500t计</w:t>
            </w:r>
            <w:r>
              <w:rPr>
                <w:rFonts w:hint="eastAsia" w:ascii="宋体" w:hAnsi="宋体"/>
                <w:kern w:val="0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含水率（消石灰）</w:t>
            </w: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细度（磨细生石灰粉）</w:t>
            </w: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水泥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胶砂强度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每400t不少于1次</w:t>
            </w:r>
          </w:p>
        </w:tc>
        <w:tc>
          <w:tcPr>
            <w:tcW w:w="23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同产地同规格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凝结时间、安定性</w:t>
            </w: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粉煤灰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SiO</w:t>
            </w:r>
            <w:r>
              <w:rPr>
                <w:rFonts w:ascii="宋体" w:hAnsi="宋体"/>
                <w:kern w:val="0"/>
                <w:szCs w:val="21"/>
                <w:vertAlign w:val="subscript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、Al</w:t>
            </w:r>
            <w:r>
              <w:rPr>
                <w:rFonts w:ascii="宋体" w:hAnsi="宋体"/>
                <w:kern w:val="0"/>
                <w:szCs w:val="21"/>
                <w:vertAlign w:val="subscript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O</w:t>
            </w:r>
            <w:r>
              <w:rPr>
                <w:rFonts w:ascii="宋体" w:hAnsi="宋体"/>
                <w:kern w:val="0"/>
                <w:szCs w:val="21"/>
                <w:vertAlign w:val="subscript"/>
              </w:rPr>
              <w:t>3</w:t>
            </w:r>
            <w:r>
              <w:rPr>
                <w:rFonts w:ascii="宋体" w:hAnsi="宋体"/>
                <w:kern w:val="0"/>
                <w:szCs w:val="21"/>
              </w:rPr>
              <w:t>、Fe</w:t>
            </w:r>
            <w:r>
              <w:rPr>
                <w:rFonts w:ascii="宋体" w:hAnsi="宋体"/>
                <w:kern w:val="0"/>
                <w:szCs w:val="21"/>
                <w:vertAlign w:val="subscript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O</w:t>
            </w:r>
            <w:r>
              <w:rPr>
                <w:rFonts w:ascii="宋体" w:hAnsi="宋体"/>
                <w:kern w:val="0"/>
                <w:szCs w:val="21"/>
                <w:vertAlign w:val="subscript"/>
              </w:rPr>
              <w:t>3</w:t>
            </w:r>
            <w:r>
              <w:rPr>
                <w:rFonts w:ascii="宋体" w:hAnsi="宋体"/>
                <w:kern w:val="0"/>
                <w:szCs w:val="21"/>
              </w:rPr>
              <w:t>含量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每1000t不少于1次</w:t>
            </w:r>
          </w:p>
        </w:tc>
        <w:tc>
          <w:tcPr>
            <w:tcW w:w="23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同产地同品种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烧失量</w:t>
            </w: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筛分</w:t>
            </w: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含水率</w:t>
            </w: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集料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颗粒分析（筛分）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每4000m</w:t>
            </w:r>
            <w:r>
              <w:rPr>
                <w:rFonts w:ascii="宋体" w:hAnsi="宋体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hAnsi="宋体"/>
                <w:kern w:val="0"/>
                <w:szCs w:val="21"/>
              </w:rPr>
              <w:t>不少于1次</w:t>
            </w:r>
          </w:p>
        </w:tc>
        <w:tc>
          <w:tcPr>
            <w:tcW w:w="2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同产地同规格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压碎值</w:t>
            </w: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破碎率</w:t>
            </w: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塑性指数（土、砂砾）</w:t>
            </w: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16767"/>
    <w:rsid w:val="56A167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2016-12-20T04:36:00Z</dcterms:created>
  <dc:creator>Mmf99</dc:creator>
  <cp:lastModifiedBy>Mmf99</cp:lastModifiedBy>
  <dcterms:modified xsi:type="dcterms:W3CDTF">2016-12-20T04:37:09Z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