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附件5：</w:t>
      </w:r>
    </w:p>
    <w:p>
      <w:pPr>
        <w:spacing w:line="540" w:lineRule="exact"/>
        <w:ind w:firstLine="1120" w:firstLineChars="350"/>
        <w:rPr>
          <w:rFonts w:hint="eastAsia"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医保经办机构审核结算医疗费用后需提供的材料</w:t>
      </w:r>
    </w:p>
    <w:bookmarkEnd w:id="0"/>
    <w:tbl>
      <w:tblPr>
        <w:tblStyle w:val="6"/>
        <w:tblW w:w="8594" w:type="dxa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789"/>
        <w:gridCol w:w="2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提供材料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要     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向市级单位或社保所</w:t>
            </w: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1、北京市医疗保险手工报销医疗费用结算支付明细表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（见表6-10）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加盖区、县医保经办机构章。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2、北京市医疗保险手工报销医疗费用审批表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（见表6-11）</w:t>
            </w:r>
          </w:p>
        </w:tc>
        <w:tc>
          <w:tcPr>
            <w:tcW w:w="2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向定点医疗机构</w:t>
            </w: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1、</w:t>
            </w:r>
            <w:r>
              <w:rPr>
                <w:rFonts w:hint="eastAsia" w:ascii="仿宋_GB2312" w:hAnsi="仿宋" w:eastAsia="仿宋_GB2312"/>
                <w:szCs w:val="21"/>
              </w:rPr>
              <w:t>北京市医疗保险门（急）诊医疗费用结算支付明细表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（见表6-12）</w:t>
            </w: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2、北京市医疗保险门（急）诊医疗费用拒付（追回、补支）明细表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（见表6-13）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定点医疗机构可从院端直接下载，经办机构不再打印此表，其中拒付项目及原因应详细描述。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1、</w:t>
            </w:r>
            <w:r>
              <w:rPr>
                <w:rFonts w:hint="eastAsia" w:ascii="仿宋_GB2312" w:hAnsi="仿宋" w:eastAsia="仿宋_GB2312"/>
                <w:szCs w:val="21"/>
              </w:rPr>
              <w:t>北京市医疗保险住院类医疗费用结算支付明细表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（见表6-14）</w:t>
            </w: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2、北京市医疗保险住院类医疗费用拒付（追回、补支）明细表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（见表6-15）</w:t>
            </w:r>
          </w:p>
        </w:tc>
        <w:tc>
          <w:tcPr>
            <w:tcW w:w="2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向社会保险基金管理中心</w:t>
            </w: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1、北京市医疗保险门（急）诊医疗费用支付通知单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（见表6-16）</w:t>
            </w:r>
          </w:p>
          <w:p>
            <w:pPr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2、北京市医疗保险住院类医疗费用支付通知单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（见表6-17）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区、县医保经办机构经办人、负责人签字后加盖医保经办机构章。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1、北京市医疗保险手工报销医疗费用支付通知单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（见表6-18）</w:t>
            </w:r>
          </w:p>
        </w:tc>
        <w:tc>
          <w:tcPr>
            <w:tcW w:w="2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</w:tbl>
    <w:p>
      <w:pPr>
        <w:snapToGrid w:val="0"/>
        <w:spacing w:line="276" w:lineRule="auto"/>
        <w:ind w:firstLine="210" w:firstLineChars="10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备注：</w:t>
      </w:r>
    </w:p>
    <w:p>
      <w:pPr>
        <w:snapToGrid w:val="0"/>
        <w:spacing w:line="276" w:lineRule="auto"/>
        <w:ind w:firstLine="210" w:firstLineChars="100"/>
      </w:pPr>
      <w:r>
        <w:rPr>
          <w:rFonts w:hint="eastAsia" w:ascii="仿宋_GB2312" w:hAnsi="仿宋" w:eastAsia="仿宋_GB2312"/>
          <w:szCs w:val="21"/>
        </w:rPr>
        <w:t>附件1、2、3、4、5中各项材料，都应符合卫生、财政等行政管理部门的有关规定和要求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0E5C"/>
    <w:rsid w:val="5E0D0E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2016-11-29T02:35:00Z</dcterms:created>
  <dc:creator>banruo</dc:creator>
  <cp:lastModifiedBy>banruo</cp:lastModifiedBy>
  <dcterms:modified xsi:type="dcterms:W3CDTF">2016-11-29T02:35:28Z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