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98" w:rsidRPr="003E6B50" w:rsidRDefault="00D31198" w:rsidP="00D31198">
      <w:pPr>
        <w:adjustRightInd w:val="0"/>
        <w:spacing w:line="360" w:lineRule="exact"/>
        <w:rPr>
          <w:rFonts w:hint="eastAsia"/>
          <w:sz w:val="32"/>
          <w:szCs w:val="32"/>
        </w:rPr>
      </w:pPr>
      <w:r w:rsidRPr="003E6B50">
        <w:rPr>
          <w:rFonts w:hint="eastAsia"/>
          <w:sz w:val="32"/>
          <w:szCs w:val="32"/>
        </w:rPr>
        <w:t>附件：</w:t>
      </w:r>
    </w:p>
    <w:p w:rsidR="00D31198" w:rsidRPr="003E6B50" w:rsidRDefault="00D31198" w:rsidP="00D31198">
      <w:pPr>
        <w:rPr>
          <w:rFonts w:hint="eastAsia"/>
          <w:szCs w:val="32"/>
        </w:rPr>
      </w:pPr>
    </w:p>
    <w:p w:rsidR="00D31198" w:rsidRPr="004B76D3" w:rsidRDefault="00D31198" w:rsidP="00D31198">
      <w:pPr>
        <w:ind w:firstLineChars="298" w:firstLine="1316"/>
        <w:rPr>
          <w:rFonts w:ascii="黑体" w:eastAsia="黑体" w:hAnsi="宋体" w:hint="eastAsia"/>
          <w:b/>
          <w:sz w:val="44"/>
          <w:szCs w:val="44"/>
        </w:rPr>
      </w:pPr>
      <w:r>
        <w:rPr>
          <w:rFonts w:ascii="黑体" w:eastAsia="黑体" w:hAnsi="宋体" w:hint="eastAsia"/>
          <w:b/>
          <w:sz w:val="44"/>
          <w:szCs w:val="44"/>
        </w:rPr>
        <w:t>北京市认定企业技术中心项目</w:t>
      </w:r>
    </w:p>
    <w:p w:rsidR="00D31198" w:rsidRDefault="00D31198" w:rsidP="00D31198">
      <w:pPr>
        <w:ind w:firstLineChars="543" w:firstLine="2399"/>
        <w:rPr>
          <w:rFonts w:ascii="黑体" w:eastAsia="黑体" w:hAnsi="宋体" w:hint="eastAsia"/>
          <w:b/>
          <w:sz w:val="44"/>
          <w:szCs w:val="44"/>
        </w:rPr>
      </w:pPr>
      <w:r w:rsidRPr="004B76D3">
        <w:rPr>
          <w:rFonts w:ascii="黑体" w:eastAsia="黑体" w:hAnsi="宋体" w:hint="eastAsia"/>
          <w:b/>
          <w:sz w:val="44"/>
          <w:szCs w:val="44"/>
        </w:rPr>
        <w:t>补助政策实施细则</w:t>
      </w:r>
    </w:p>
    <w:p w:rsidR="00D31198" w:rsidRPr="004B76D3" w:rsidRDefault="00D31198" w:rsidP="00D31198">
      <w:pPr>
        <w:ind w:firstLineChars="543" w:firstLine="2399"/>
        <w:rPr>
          <w:rFonts w:ascii="黑体" w:eastAsia="黑体" w:hAnsi="宋体" w:hint="eastAsia"/>
          <w:b/>
          <w:sz w:val="44"/>
          <w:szCs w:val="44"/>
        </w:rPr>
      </w:pPr>
    </w:p>
    <w:p w:rsidR="00D31198" w:rsidRPr="009D4047" w:rsidRDefault="00D31198" w:rsidP="00D31198">
      <w:pPr>
        <w:spacing w:line="540" w:lineRule="exact"/>
        <w:ind w:firstLineChars="200" w:firstLine="640"/>
        <w:rPr>
          <w:rFonts w:ascii="仿宋_GB2312" w:eastAsia="仿宋_GB2312" w:hint="eastAsia"/>
          <w:sz w:val="32"/>
          <w:szCs w:val="32"/>
        </w:rPr>
      </w:pPr>
      <w:r w:rsidRPr="00FC301F">
        <w:rPr>
          <w:rFonts w:ascii="仿宋_GB2312" w:eastAsia="仿宋_GB2312" w:hint="eastAsia"/>
          <w:sz w:val="32"/>
          <w:szCs w:val="32"/>
        </w:rPr>
        <w:t>为</w:t>
      </w:r>
      <w:r w:rsidRPr="009D4047">
        <w:rPr>
          <w:rFonts w:ascii="仿宋_GB2312" w:eastAsia="仿宋_GB2312" w:hint="eastAsia"/>
          <w:sz w:val="32"/>
          <w:szCs w:val="32"/>
        </w:rPr>
        <w:t>落实《中共北京市委北京市人民政府关于增强自主创新能力建设创新型城市的意见》（京发[2006]5号）和《北京市企业技术中心认定评价管理办法》有关规定，鼓励企业技术中心加强自主创新能力建设，引导和支持企业加大技术创新投入，根据《中华人民共和国预算法》、《中华人民共和国预算法实施条例》，特制定北京市认定企业技术中心专项补助政策实施细则。</w:t>
      </w:r>
    </w:p>
    <w:p w:rsidR="00D31198" w:rsidRPr="009D4047" w:rsidRDefault="00D31198" w:rsidP="00D31198">
      <w:pPr>
        <w:spacing w:line="540" w:lineRule="exact"/>
        <w:ind w:firstLineChars="200" w:firstLine="640"/>
        <w:rPr>
          <w:rFonts w:ascii="黑体" w:eastAsia="黑体" w:hint="eastAsia"/>
          <w:sz w:val="32"/>
          <w:szCs w:val="32"/>
        </w:rPr>
      </w:pPr>
      <w:r w:rsidRPr="009D4047">
        <w:rPr>
          <w:rFonts w:ascii="黑体" w:eastAsia="黑体" w:hint="eastAsia"/>
          <w:sz w:val="32"/>
          <w:szCs w:val="32"/>
        </w:rPr>
        <w:t>一、补助对象</w:t>
      </w:r>
    </w:p>
    <w:p w:rsidR="00D31198" w:rsidRPr="009D4047" w:rsidRDefault="00D31198" w:rsidP="00D31198">
      <w:pPr>
        <w:spacing w:line="540" w:lineRule="exact"/>
        <w:ind w:firstLineChars="200" w:firstLine="640"/>
        <w:rPr>
          <w:rFonts w:ascii="仿宋_GB2312" w:eastAsia="仿宋_GB2312" w:hint="eastAsia"/>
          <w:sz w:val="32"/>
          <w:szCs w:val="32"/>
        </w:rPr>
      </w:pPr>
      <w:r w:rsidRPr="009D4047">
        <w:rPr>
          <w:rFonts w:ascii="仿宋_GB2312" w:eastAsia="仿宋_GB2312" w:hint="eastAsia"/>
          <w:sz w:val="32"/>
          <w:szCs w:val="32"/>
        </w:rPr>
        <w:t>在本市工商管理部门登记注册、具有独立法人资格的</w:t>
      </w:r>
      <w:r w:rsidRPr="009D4047">
        <w:rPr>
          <w:rFonts w:ascii="仿宋_GB2312" w:eastAsia="仿宋_GB2312" w:hAnsi="宋体" w:hint="eastAsia"/>
          <w:sz w:val="32"/>
          <w:szCs w:val="32"/>
        </w:rPr>
        <w:t>制造业企业，信息传输、计算机服务和软件业企业，</w:t>
      </w:r>
      <w:r w:rsidRPr="009D4047">
        <w:rPr>
          <w:rFonts w:ascii="仿宋_GB2312" w:eastAsia="仿宋_GB2312" w:hint="eastAsia"/>
          <w:sz w:val="32"/>
          <w:szCs w:val="32"/>
        </w:rPr>
        <w:t>上年被认定为市级技术中心或经市企业技术中心认定工作指导小组推荐认定为国家级技术中心的企业，或者是企业技术中心上一年度评价得分在70分以上的企业（国家级企业技术中心评价得分为国家发改委公布的评分）。</w:t>
      </w:r>
    </w:p>
    <w:p w:rsidR="00D31198" w:rsidRPr="009D4047" w:rsidRDefault="00D31198" w:rsidP="00D31198">
      <w:pPr>
        <w:spacing w:line="540" w:lineRule="exact"/>
        <w:ind w:firstLineChars="200" w:firstLine="640"/>
        <w:rPr>
          <w:rFonts w:ascii="黑体" w:eastAsia="黑体" w:hint="eastAsia"/>
          <w:sz w:val="32"/>
          <w:szCs w:val="32"/>
        </w:rPr>
      </w:pPr>
      <w:r w:rsidRPr="009D4047">
        <w:rPr>
          <w:rFonts w:ascii="黑体" w:eastAsia="黑体" w:hint="eastAsia"/>
          <w:sz w:val="32"/>
          <w:szCs w:val="32"/>
        </w:rPr>
        <w:t>二、补助项目与额度</w:t>
      </w:r>
    </w:p>
    <w:p w:rsidR="00D31198" w:rsidRPr="009D4047" w:rsidRDefault="00D31198" w:rsidP="00D31198">
      <w:pPr>
        <w:pStyle w:val="a6"/>
        <w:spacing w:before="0" w:beforeAutospacing="0" w:after="0" w:afterAutospacing="0" w:line="540" w:lineRule="exact"/>
        <w:ind w:firstLineChars="200" w:firstLine="640"/>
        <w:jc w:val="both"/>
        <w:rPr>
          <w:rFonts w:ascii="仿宋_GB2312" w:eastAsia="仿宋_GB2312" w:hint="eastAsia"/>
          <w:sz w:val="32"/>
          <w:szCs w:val="32"/>
        </w:rPr>
      </w:pPr>
      <w:r w:rsidRPr="009D4047">
        <w:rPr>
          <w:rFonts w:ascii="仿宋_GB2312" w:eastAsia="仿宋_GB2312" w:hint="eastAsia"/>
          <w:sz w:val="32"/>
          <w:szCs w:val="32"/>
        </w:rPr>
        <w:t>（一）针对</w:t>
      </w:r>
      <w:r w:rsidRPr="009D4047">
        <w:rPr>
          <w:rFonts w:ascii="仿宋_GB2312" w:eastAsia="仿宋_GB2312" w:hAnsi="Times New Roman" w:cs="Times New Roman" w:hint="eastAsia"/>
          <w:kern w:val="2"/>
          <w:sz w:val="32"/>
          <w:szCs w:val="32"/>
        </w:rPr>
        <w:t>项目</w:t>
      </w:r>
      <w:r w:rsidRPr="009D4047">
        <w:rPr>
          <w:rFonts w:ascii="仿宋_GB2312" w:eastAsia="仿宋_GB2312" w:hint="eastAsia"/>
          <w:sz w:val="32"/>
          <w:szCs w:val="32"/>
        </w:rPr>
        <w:t>进行补助，补助资金用于提高企业创新能力的实验室建设与改造、购置研发设备和相关支持软件等。</w:t>
      </w:r>
    </w:p>
    <w:p w:rsidR="00D31198" w:rsidRPr="009D4047" w:rsidRDefault="00D31198" w:rsidP="00D31198">
      <w:pPr>
        <w:pStyle w:val="a6"/>
        <w:spacing w:before="0" w:beforeAutospacing="0" w:after="0" w:afterAutospacing="0" w:line="540" w:lineRule="exact"/>
        <w:ind w:firstLineChars="200" w:firstLine="640"/>
        <w:jc w:val="both"/>
        <w:rPr>
          <w:rFonts w:ascii="仿宋_GB2312" w:eastAsia="仿宋_GB2312" w:hint="eastAsia"/>
          <w:sz w:val="32"/>
          <w:szCs w:val="32"/>
        </w:rPr>
      </w:pPr>
      <w:r w:rsidRPr="009D4047">
        <w:rPr>
          <w:rFonts w:ascii="仿宋_GB2312" w:eastAsia="仿宋_GB2312" w:hint="eastAsia"/>
          <w:sz w:val="32"/>
          <w:szCs w:val="32"/>
        </w:rPr>
        <w:t>（二）原则上补助金额不超过项目固定资产投资的20%，不超过项目总投资的10%。</w:t>
      </w:r>
      <w:r w:rsidRPr="009D4047">
        <w:rPr>
          <w:rFonts w:ascii="仿宋_GB2312" w:eastAsia="仿宋_GB2312" w:hAnsi="Times New Roman" w:cs="Times New Roman" w:hint="eastAsia"/>
          <w:kern w:val="2"/>
          <w:sz w:val="32"/>
          <w:szCs w:val="32"/>
        </w:rPr>
        <w:t>市级技术中心企业享受补助资金支</w:t>
      </w:r>
      <w:r w:rsidRPr="009D4047">
        <w:rPr>
          <w:rFonts w:ascii="仿宋_GB2312" w:eastAsia="仿宋_GB2312" w:hAnsi="Times New Roman" w:cs="Times New Roman" w:hint="eastAsia"/>
          <w:kern w:val="2"/>
          <w:sz w:val="32"/>
          <w:szCs w:val="32"/>
        </w:rPr>
        <w:lastRenderedPageBreak/>
        <w:t>持额度不超过100万元；国家级技术中心企业享受补助资金支持额度不超过200万元</w:t>
      </w:r>
      <w:r w:rsidRPr="009D4047">
        <w:rPr>
          <w:rFonts w:ascii="仿宋_GB2312" w:eastAsia="仿宋_GB2312" w:hint="eastAsia"/>
          <w:sz w:val="32"/>
          <w:szCs w:val="32"/>
        </w:rPr>
        <w:t>。</w:t>
      </w:r>
    </w:p>
    <w:p w:rsidR="00D31198" w:rsidRPr="009D4047" w:rsidRDefault="00D31198" w:rsidP="00D31198">
      <w:pPr>
        <w:pStyle w:val="a6"/>
        <w:spacing w:before="0" w:beforeAutospacing="0" w:after="0" w:afterAutospacing="0" w:line="540" w:lineRule="exact"/>
        <w:ind w:firstLineChars="200" w:firstLine="640"/>
        <w:jc w:val="both"/>
        <w:rPr>
          <w:rFonts w:ascii="仿宋_GB2312" w:eastAsia="仿宋_GB2312" w:hint="eastAsia"/>
          <w:sz w:val="32"/>
          <w:szCs w:val="32"/>
        </w:rPr>
      </w:pPr>
      <w:r w:rsidRPr="009D4047">
        <w:rPr>
          <w:rFonts w:ascii="仿宋_GB2312" w:eastAsia="仿宋_GB2312" w:hAnsi="Times New Roman" w:cs="Times New Roman" w:hint="eastAsia"/>
          <w:kern w:val="2"/>
          <w:sz w:val="32"/>
          <w:szCs w:val="32"/>
        </w:rPr>
        <w:t>（三）对于本办法实施前依照原《北京市认定企业技术中心专项补助政策实施细则》</w:t>
      </w:r>
      <w:r w:rsidRPr="009D4047">
        <w:rPr>
          <w:rFonts w:ascii="仿宋_GB2312" w:eastAsia="仿宋_GB2312" w:hint="eastAsia"/>
          <w:sz w:val="32"/>
          <w:szCs w:val="32"/>
        </w:rPr>
        <w:t>已享受过补助的企业技术中心，原则上不再给予支持。未享受或已享受但未达到原规定标准的企业可申请该资金补助，补助资金与原获得资金之和不得超过上述标准。原则上企业申请不能超过3次。</w:t>
      </w:r>
    </w:p>
    <w:p w:rsidR="00D31198" w:rsidRPr="009D4047" w:rsidRDefault="00D31198" w:rsidP="00D31198">
      <w:pPr>
        <w:spacing w:line="540" w:lineRule="exact"/>
        <w:ind w:firstLineChars="200" w:firstLine="640"/>
        <w:rPr>
          <w:rFonts w:ascii="仿宋_GB2312" w:eastAsia="仿宋_GB2312" w:hint="eastAsia"/>
          <w:sz w:val="32"/>
          <w:szCs w:val="32"/>
        </w:rPr>
      </w:pPr>
      <w:r w:rsidRPr="009D4047">
        <w:rPr>
          <w:rFonts w:ascii="仿宋_GB2312" w:eastAsia="仿宋_GB2312" w:hint="eastAsia"/>
          <w:sz w:val="32"/>
          <w:szCs w:val="32"/>
        </w:rPr>
        <w:t>（四）补助资金从“北京市支持中小企业发展专项资金”中列支。</w:t>
      </w:r>
    </w:p>
    <w:p w:rsidR="00D31198" w:rsidRPr="009D4047" w:rsidRDefault="00D31198" w:rsidP="00D31198">
      <w:pPr>
        <w:spacing w:line="540" w:lineRule="exact"/>
        <w:ind w:firstLineChars="200" w:firstLine="640"/>
        <w:rPr>
          <w:rFonts w:ascii="黑体" w:eastAsia="黑体" w:hint="eastAsia"/>
          <w:sz w:val="32"/>
          <w:szCs w:val="32"/>
        </w:rPr>
      </w:pPr>
      <w:r w:rsidRPr="009D4047">
        <w:rPr>
          <w:rFonts w:ascii="黑体" w:eastAsia="黑体" w:hint="eastAsia"/>
          <w:sz w:val="32"/>
          <w:szCs w:val="32"/>
        </w:rPr>
        <w:t>三、申请条件</w:t>
      </w:r>
    </w:p>
    <w:p w:rsidR="00D31198" w:rsidRPr="009D4047" w:rsidRDefault="00D31198" w:rsidP="00D31198">
      <w:pPr>
        <w:spacing w:line="540" w:lineRule="exact"/>
        <w:ind w:firstLineChars="200" w:firstLine="640"/>
        <w:rPr>
          <w:rFonts w:ascii="仿宋_GB2312" w:eastAsia="仿宋_GB2312" w:hint="eastAsia"/>
          <w:sz w:val="32"/>
          <w:szCs w:val="32"/>
        </w:rPr>
      </w:pPr>
      <w:r w:rsidRPr="009D4047">
        <w:rPr>
          <w:rFonts w:ascii="仿宋_GB2312" w:eastAsia="仿宋_GB2312" w:hint="eastAsia"/>
          <w:sz w:val="32"/>
          <w:szCs w:val="32"/>
        </w:rPr>
        <w:t>（一）企业法人治理结构规范，财务管理制度健全。</w:t>
      </w:r>
    </w:p>
    <w:p w:rsidR="00D31198" w:rsidRPr="009D4047" w:rsidRDefault="00D31198" w:rsidP="00D31198">
      <w:pPr>
        <w:spacing w:line="540" w:lineRule="exact"/>
        <w:ind w:firstLineChars="200" w:firstLine="640"/>
        <w:rPr>
          <w:rFonts w:ascii="仿宋_GB2312" w:eastAsia="仿宋_GB2312" w:hint="eastAsia"/>
          <w:sz w:val="32"/>
          <w:szCs w:val="32"/>
        </w:rPr>
      </w:pPr>
      <w:r w:rsidRPr="009D4047">
        <w:rPr>
          <w:rFonts w:ascii="仿宋_GB2312" w:eastAsia="仿宋_GB2312" w:hint="eastAsia"/>
          <w:sz w:val="32"/>
          <w:szCs w:val="32"/>
        </w:rPr>
        <w:t>（二）经济效益良好，最近连续两年不亏损。</w:t>
      </w:r>
    </w:p>
    <w:p w:rsidR="00D31198" w:rsidRPr="009D4047" w:rsidRDefault="00D31198" w:rsidP="00D31198">
      <w:pPr>
        <w:spacing w:line="540" w:lineRule="exact"/>
        <w:ind w:firstLineChars="200" w:firstLine="640"/>
        <w:rPr>
          <w:rFonts w:ascii="仿宋_GB2312" w:eastAsia="仿宋_GB2312" w:hint="eastAsia"/>
          <w:sz w:val="32"/>
          <w:szCs w:val="32"/>
        </w:rPr>
      </w:pPr>
      <w:r w:rsidRPr="009D4047">
        <w:rPr>
          <w:rFonts w:ascii="仿宋_GB2312" w:eastAsia="仿宋_GB2312" w:hint="eastAsia"/>
          <w:sz w:val="32"/>
          <w:szCs w:val="32"/>
        </w:rPr>
        <w:t>（三）会计信用和纳税信用良好。企业上年度纳税在500万元以上。</w:t>
      </w:r>
    </w:p>
    <w:p w:rsidR="00D31198" w:rsidRPr="009D4047" w:rsidRDefault="00D31198" w:rsidP="00D31198">
      <w:pPr>
        <w:spacing w:line="540" w:lineRule="exact"/>
        <w:ind w:firstLineChars="200" w:firstLine="640"/>
        <w:rPr>
          <w:rFonts w:ascii="仿宋_GB2312" w:eastAsia="仿宋_GB2312" w:hint="eastAsia"/>
          <w:sz w:val="32"/>
          <w:szCs w:val="32"/>
        </w:rPr>
      </w:pPr>
      <w:r w:rsidRPr="009D4047">
        <w:rPr>
          <w:rFonts w:ascii="仿宋_GB2312" w:eastAsia="仿宋_GB2312" w:hint="eastAsia"/>
          <w:sz w:val="32"/>
          <w:szCs w:val="32"/>
        </w:rPr>
        <w:t>（四）项目重点围绕全市的支柱产业，特别是战略性新兴产业和传统产业优化升级的重要领域，支持优势骨干企业建设较为系统的研发设施、工程研究实验设施、系统集成验证平台等综合性基础设施。支持企业技术中心采用新技术、新工艺，促进科技成果在京转化落地。</w:t>
      </w:r>
    </w:p>
    <w:p w:rsidR="00D31198" w:rsidRPr="009D4047" w:rsidRDefault="00D31198" w:rsidP="00D31198">
      <w:pPr>
        <w:spacing w:line="540" w:lineRule="exact"/>
        <w:ind w:firstLineChars="200" w:firstLine="640"/>
        <w:rPr>
          <w:rFonts w:ascii="黑体" w:eastAsia="黑体" w:hint="eastAsia"/>
          <w:sz w:val="32"/>
          <w:szCs w:val="32"/>
        </w:rPr>
      </w:pPr>
      <w:r w:rsidRPr="009D4047">
        <w:rPr>
          <w:rFonts w:ascii="黑体" w:eastAsia="黑体" w:hint="eastAsia"/>
          <w:sz w:val="32"/>
          <w:szCs w:val="32"/>
        </w:rPr>
        <w:t>四、申报程序和审批流程</w:t>
      </w:r>
    </w:p>
    <w:p w:rsidR="00D31198" w:rsidRPr="005924FA" w:rsidRDefault="00D31198" w:rsidP="00D31198">
      <w:pPr>
        <w:spacing w:line="540" w:lineRule="exact"/>
        <w:ind w:firstLineChars="200" w:firstLine="640"/>
        <w:rPr>
          <w:rFonts w:ascii="仿宋_GB2312" w:eastAsia="仿宋_GB2312" w:hint="eastAsia"/>
          <w:sz w:val="32"/>
          <w:szCs w:val="32"/>
        </w:rPr>
      </w:pPr>
      <w:r w:rsidRPr="005924FA">
        <w:rPr>
          <w:rFonts w:ascii="仿宋_GB2312" w:eastAsia="仿宋_GB2312" w:hint="eastAsia"/>
          <w:sz w:val="32"/>
          <w:szCs w:val="32"/>
        </w:rPr>
        <w:t>（一）具体申报材料参照“北京市经济和信息化委员会支持中小企业发展专项资金使用指南”要求</w:t>
      </w:r>
      <w:r w:rsidRPr="005924FA">
        <w:rPr>
          <w:rFonts w:eastAsia="仿宋_GB2312" w:hint="eastAsia"/>
          <w:sz w:val="32"/>
          <w:szCs w:val="32"/>
        </w:rPr>
        <w:t> </w:t>
      </w:r>
      <w:r w:rsidRPr="005924FA">
        <w:rPr>
          <w:rFonts w:ascii="仿宋_GB2312" w:eastAsia="仿宋_GB2312" w:hint="eastAsia"/>
          <w:sz w:val="32"/>
          <w:szCs w:val="32"/>
        </w:rPr>
        <w:t>。</w:t>
      </w:r>
    </w:p>
    <w:p w:rsidR="00D31198" w:rsidRPr="005924FA" w:rsidRDefault="00D31198" w:rsidP="00D31198">
      <w:pPr>
        <w:spacing w:line="540" w:lineRule="exact"/>
        <w:ind w:firstLineChars="200" w:firstLine="640"/>
        <w:rPr>
          <w:rFonts w:ascii="仿宋_GB2312" w:eastAsia="仿宋_GB2312" w:hint="eastAsia"/>
          <w:sz w:val="32"/>
          <w:szCs w:val="32"/>
        </w:rPr>
      </w:pPr>
      <w:r w:rsidRPr="005924FA">
        <w:rPr>
          <w:rFonts w:ascii="仿宋_GB2312" w:eastAsia="仿宋_GB2312" w:hint="eastAsia"/>
          <w:sz w:val="32"/>
          <w:szCs w:val="32"/>
        </w:rPr>
        <w:t>（二）本项目每年受理一次。市经济和信息化委员会按照公</w:t>
      </w:r>
      <w:r w:rsidRPr="005924FA">
        <w:rPr>
          <w:rFonts w:ascii="仿宋_GB2312" w:eastAsia="仿宋_GB2312" w:hint="eastAsia"/>
          <w:sz w:val="32"/>
          <w:szCs w:val="32"/>
        </w:rPr>
        <w:lastRenderedPageBreak/>
        <w:t>正、公平的原则，委托中介机构组织专家评审，并会同市财政局根据评审情况确定项目。</w:t>
      </w:r>
    </w:p>
    <w:p w:rsidR="00D31198" w:rsidRPr="005924FA" w:rsidRDefault="00D31198" w:rsidP="00D31198">
      <w:pPr>
        <w:spacing w:line="540" w:lineRule="exact"/>
        <w:ind w:firstLineChars="200" w:firstLine="640"/>
        <w:rPr>
          <w:rFonts w:ascii="仿宋_GB2312" w:eastAsia="仿宋_GB2312" w:hint="eastAsia"/>
          <w:sz w:val="32"/>
          <w:szCs w:val="32"/>
        </w:rPr>
      </w:pPr>
      <w:r w:rsidRPr="005924FA">
        <w:rPr>
          <w:rFonts w:ascii="仿宋_GB2312" w:eastAsia="仿宋_GB2312" w:hint="eastAsia"/>
          <w:sz w:val="32"/>
          <w:szCs w:val="32"/>
        </w:rPr>
        <w:t>（三）项目确定后，实行网上公示，待无异议或虽有异议但调查核实无问题后，项目补助资金由市财政当年予以拨付。</w:t>
      </w:r>
    </w:p>
    <w:p w:rsidR="00D31198" w:rsidRPr="009D4047" w:rsidRDefault="00D31198" w:rsidP="00D31198">
      <w:pPr>
        <w:spacing w:line="540" w:lineRule="exact"/>
        <w:ind w:firstLineChars="200" w:firstLine="640"/>
        <w:rPr>
          <w:rFonts w:ascii="仿宋_GB2312" w:eastAsia="仿宋_GB2312" w:hint="eastAsia"/>
          <w:sz w:val="32"/>
          <w:szCs w:val="32"/>
        </w:rPr>
      </w:pPr>
      <w:r w:rsidRPr="009D4047">
        <w:rPr>
          <w:rFonts w:ascii="黑体" w:eastAsia="黑体" w:hint="eastAsia"/>
          <w:sz w:val="32"/>
          <w:szCs w:val="32"/>
        </w:rPr>
        <w:t>五、监督管理</w:t>
      </w:r>
    </w:p>
    <w:p w:rsidR="00D31198" w:rsidRPr="009D4047" w:rsidRDefault="00D31198" w:rsidP="00D31198">
      <w:pPr>
        <w:spacing w:line="540" w:lineRule="exact"/>
        <w:ind w:firstLineChars="200" w:firstLine="640"/>
        <w:rPr>
          <w:rFonts w:ascii="仿宋_GB2312" w:eastAsia="仿宋_GB2312" w:hint="eastAsia"/>
          <w:sz w:val="32"/>
          <w:szCs w:val="32"/>
        </w:rPr>
      </w:pPr>
      <w:r w:rsidRPr="009D4047">
        <w:rPr>
          <w:rFonts w:ascii="仿宋_GB2312" w:eastAsia="仿宋_GB2312" w:hint="eastAsia"/>
          <w:sz w:val="32"/>
          <w:szCs w:val="32"/>
        </w:rPr>
        <w:t>（一）获得财政支持的企业技术中心应承担对技术研发成果进行推广或扩散的义务，应当按照国家有关规定承担公开披露技术信息的义务。</w:t>
      </w:r>
    </w:p>
    <w:p w:rsidR="00D31198" w:rsidRPr="009D4047" w:rsidRDefault="00D31198" w:rsidP="00D31198">
      <w:pPr>
        <w:spacing w:line="540" w:lineRule="exact"/>
        <w:ind w:firstLineChars="200" w:firstLine="640"/>
        <w:rPr>
          <w:rFonts w:ascii="仿宋_GB2312" w:eastAsia="仿宋_GB2312" w:hint="eastAsia"/>
          <w:sz w:val="32"/>
          <w:szCs w:val="32"/>
        </w:rPr>
      </w:pPr>
      <w:r w:rsidRPr="009D4047">
        <w:rPr>
          <w:rFonts w:ascii="仿宋_GB2312" w:eastAsia="仿宋_GB2312" w:hint="eastAsia"/>
          <w:sz w:val="32"/>
          <w:szCs w:val="32"/>
        </w:rPr>
        <w:t>（二）北京市财政局、北京市经济和信息化委员会负责对项目资金的使用进行监督、检查和跟踪。</w:t>
      </w:r>
    </w:p>
    <w:p w:rsidR="00D31198" w:rsidRPr="009D4047" w:rsidRDefault="00D31198" w:rsidP="00D31198">
      <w:pPr>
        <w:spacing w:line="540" w:lineRule="exact"/>
        <w:ind w:firstLineChars="200" w:firstLine="640"/>
        <w:rPr>
          <w:rFonts w:ascii="仿宋_GB2312" w:eastAsia="仿宋_GB2312" w:hint="eastAsia"/>
          <w:sz w:val="32"/>
          <w:szCs w:val="32"/>
        </w:rPr>
      </w:pPr>
      <w:r w:rsidRPr="009D4047">
        <w:rPr>
          <w:rFonts w:ascii="仿宋_GB2312" w:eastAsia="仿宋_GB2312" w:hint="eastAsia"/>
          <w:sz w:val="32"/>
          <w:szCs w:val="32"/>
        </w:rPr>
        <w:t>（三）项目资金管理使用中出现弄虚作假等违反规定使用项目资金的，根据《财政违法行为处罚处分条例》等国家相关法律、法规，进行处分。</w:t>
      </w:r>
    </w:p>
    <w:p w:rsidR="00D31198" w:rsidRPr="009D4047" w:rsidRDefault="00D31198" w:rsidP="00D31198">
      <w:pPr>
        <w:spacing w:line="540" w:lineRule="exact"/>
        <w:ind w:firstLineChars="200" w:firstLine="640"/>
        <w:rPr>
          <w:rFonts w:ascii="仿宋_GB2312" w:eastAsia="仿宋_GB2312" w:hint="eastAsia"/>
          <w:sz w:val="32"/>
          <w:szCs w:val="32"/>
        </w:rPr>
      </w:pPr>
      <w:r w:rsidRPr="009D4047">
        <w:rPr>
          <w:rFonts w:ascii="黑体" w:eastAsia="黑体" w:hint="eastAsia"/>
          <w:sz w:val="32"/>
          <w:szCs w:val="32"/>
        </w:rPr>
        <w:t>六、附则</w:t>
      </w:r>
    </w:p>
    <w:p w:rsidR="00D31198" w:rsidRPr="009D4047" w:rsidRDefault="00D31198" w:rsidP="00D31198">
      <w:pPr>
        <w:spacing w:line="540" w:lineRule="exact"/>
        <w:ind w:firstLineChars="171" w:firstLine="547"/>
        <w:rPr>
          <w:rFonts w:ascii="仿宋_GB2312" w:eastAsia="仿宋_GB2312" w:hint="eastAsia"/>
          <w:sz w:val="32"/>
          <w:szCs w:val="32"/>
        </w:rPr>
      </w:pPr>
      <w:r w:rsidRPr="009D4047">
        <w:rPr>
          <w:rFonts w:ascii="仿宋_GB2312" w:eastAsia="仿宋_GB2312" w:hint="eastAsia"/>
          <w:sz w:val="32"/>
          <w:szCs w:val="32"/>
        </w:rPr>
        <w:t>（一）未尽事宜按《北京市支持中小企业发展专项资金管理暂行办法》执行。</w:t>
      </w:r>
    </w:p>
    <w:p w:rsidR="00D31198" w:rsidRPr="009D4047" w:rsidRDefault="00D31198" w:rsidP="00D31198">
      <w:pPr>
        <w:spacing w:line="540" w:lineRule="exact"/>
        <w:ind w:firstLineChars="171" w:firstLine="547"/>
        <w:rPr>
          <w:rFonts w:ascii="仿宋_GB2312" w:eastAsia="仿宋_GB2312" w:hint="eastAsia"/>
          <w:sz w:val="32"/>
          <w:szCs w:val="32"/>
        </w:rPr>
      </w:pPr>
      <w:r w:rsidRPr="009D4047">
        <w:rPr>
          <w:rFonts w:ascii="仿宋_GB2312" w:eastAsia="仿宋_GB2312" w:hint="eastAsia"/>
          <w:sz w:val="32"/>
          <w:szCs w:val="32"/>
        </w:rPr>
        <w:t>（二）本实施细则由市财政局、市经济和信息化委员会负责解释。</w:t>
      </w:r>
    </w:p>
    <w:p w:rsidR="00D31198" w:rsidRPr="00FC301F" w:rsidRDefault="00D31198" w:rsidP="00D31198">
      <w:pPr>
        <w:spacing w:line="540" w:lineRule="exact"/>
        <w:ind w:firstLineChars="171" w:firstLine="547"/>
        <w:rPr>
          <w:rFonts w:ascii="仿宋_GB2312" w:eastAsia="仿宋_GB2312" w:hint="eastAsia"/>
          <w:sz w:val="32"/>
          <w:szCs w:val="32"/>
        </w:rPr>
      </w:pPr>
      <w:r w:rsidRPr="009D4047">
        <w:rPr>
          <w:rFonts w:ascii="仿宋_GB2312" w:eastAsia="仿宋_GB2312" w:hint="eastAsia"/>
          <w:sz w:val="32"/>
          <w:szCs w:val="32"/>
        </w:rPr>
        <w:t>（三）本实施细则自发布之日起30日后执行，市财政局、原市工业促进局《关于印发&lt;北京市认定企业技术中心专项补助政策实施细则&gt;的通知》（</w:t>
      </w:r>
      <w:r w:rsidRPr="009D4047">
        <w:rPr>
          <w:rFonts w:ascii="仿宋_GB2312" w:eastAsia="仿宋_GB2312" w:hAnsi="宋体" w:hint="eastAsia"/>
          <w:sz w:val="32"/>
          <w:szCs w:val="32"/>
        </w:rPr>
        <w:t>京财经一[2008]481号</w:t>
      </w:r>
      <w:r w:rsidRPr="009D4047">
        <w:rPr>
          <w:rFonts w:ascii="仿宋_GB2312" w:eastAsia="仿宋_GB2312" w:hint="eastAsia"/>
          <w:sz w:val="32"/>
          <w:szCs w:val="32"/>
        </w:rPr>
        <w:t>）同时废止。</w:t>
      </w:r>
    </w:p>
    <w:p w:rsidR="00D31198" w:rsidRPr="00365E40" w:rsidRDefault="00D31198" w:rsidP="00D31198">
      <w:pPr>
        <w:ind w:right="160" w:firstLineChars="200" w:firstLine="640"/>
        <w:rPr>
          <w:rFonts w:ascii="仿宋_GB2312" w:eastAsia="仿宋_GB2312" w:hint="eastAsia"/>
          <w:b/>
          <w:sz w:val="32"/>
          <w:szCs w:val="32"/>
        </w:rPr>
      </w:pPr>
    </w:p>
    <w:p w:rsidR="00D31198" w:rsidRPr="003E6B50" w:rsidRDefault="00D31198" w:rsidP="00D31198">
      <w:pPr>
        <w:rPr>
          <w:rFonts w:hint="eastAsia"/>
          <w:szCs w:val="32"/>
        </w:rPr>
      </w:pPr>
      <w:r>
        <w:rPr>
          <w:rFonts w:hint="eastAsia"/>
        </w:rPr>
        <w:t xml:space="preserve">               </w:t>
      </w:r>
      <w:bookmarkStart w:id="0" w:name="chaosong"/>
      <w:bookmarkEnd w:id="0"/>
    </w:p>
    <w:p w:rsidR="00474CDA" w:rsidRPr="00D31198" w:rsidRDefault="00474CDA"/>
    <w:sectPr w:rsidR="00474CDA" w:rsidRPr="00D31198" w:rsidSect="00354088">
      <w:headerReference w:type="default" r:id="rId6"/>
      <w:footerReference w:type="even" r:id="rId7"/>
      <w:footerReference w:type="default" r:id="rId8"/>
      <w:pgSz w:w="11906" w:h="16838" w:code="9"/>
      <w:pgMar w:top="2098" w:right="1531" w:bottom="1985" w:left="1531"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20B" w:rsidRDefault="0033620B" w:rsidP="00D31198">
      <w:r>
        <w:separator/>
      </w:r>
    </w:p>
  </w:endnote>
  <w:endnote w:type="continuationSeparator" w:id="0">
    <w:p w:rsidR="0033620B" w:rsidRDefault="0033620B" w:rsidP="00D311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5E" w:rsidRPr="00CA0CD5" w:rsidRDefault="0033620B" w:rsidP="00354088">
    <w:pPr>
      <w:pStyle w:val="a4"/>
      <w:framePr w:wrap="around" w:vAnchor="text" w:hAnchor="margin" w:xAlign="outside" w:y="1"/>
      <w:rPr>
        <w:rStyle w:val="a5"/>
        <w:rFonts w:ascii="仿宋_GB2312" w:eastAsia="仿宋_GB2312" w:hint="eastAsia"/>
        <w:sz w:val="28"/>
        <w:szCs w:val="28"/>
      </w:rPr>
    </w:pPr>
    <w:r w:rsidRPr="00CA0CD5">
      <w:rPr>
        <w:rStyle w:val="a5"/>
        <w:rFonts w:ascii="仿宋_GB2312" w:eastAsia="仿宋_GB2312" w:hint="eastAsia"/>
        <w:sz w:val="28"/>
        <w:szCs w:val="28"/>
      </w:rPr>
      <w:fldChar w:fldCharType="begin"/>
    </w:r>
    <w:r w:rsidRPr="00CA0CD5">
      <w:rPr>
        <w:rStyle w:val="a5"/>
        <w:rFonts w:ascii="仿宋_GB2312" w:eastAsia="仿宋_GB2312" w:hint="eastAsia"/>
        <w:sz w:val="28"/>
        <w:szCs w:val="28"/>
      </w:rPr>
      <w:instrText xml:space="preserve">PAGE  </w:instrText>
    </w:r>
    <w:r w:rsidRPr="00CA0CD5">
      <w:rPr>
        <w:rStyle w:val="a5"/>
        <w:rFonts w:ascii="仿宋_GB2312" w:eastAsia="仿宋_GB2312" w:hint="eastAsia"/>
        <w:sz w:val="28"/>
        <w:szCs w:val="28"/>
      </w:rPr>
      <w:fldChar w:fldCharType="separate"/>
    </w:r>
    <w:r>
      <w:rPr>
        <w:rStyle w:val="a5"/>
        <w:rFonts w:ascii="仿宋_GB2312" w:eastAsia="仿宋_GB2312"/>
        <w:noProof/>
        <w:sz w:val="28"/>
        <w:szCs w:val="28"/>
      </w:rPr>
      <w:t>- 4 -</w:t>
    </w:r>
    <w:r w:rsidRPr="00CA0CD5">
      <w:rPr>
        <w:rStyle w:val="a5"/>
        <w:rFonts w:ascii="仿宋_GB2312" w:eastAsia="仿宋_GB2312" w:hint="eastAsia"/>
        <w:sz w:val="28"/>
        <w:szCs w:val="28"/>
      </w:rPr>
      <w:fldChar w:fldCharType="end"/>
    </w:r>
  </w:p>
  <w:p w:rsidR="0084025E" w:rsidRDefault="0033620B" w:rsidP="0035408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5E" w:rsidRPr="00327564" w:rsidRDefault="0033620B" w:rsidP="00354088">
    <w:pPr>
      <w:pStyle w:val="a4"/>
      <w:framePr w:wrap="around" w:vAnchor="text" w:hAnchor="margin" w:xAlign="outside" w:y="1"/>
      <w:rPr>
        <w:rStyle w:val="a5"/>
        <w:rFonts w:ascii="仿宋_GB2312" w:eastAsia="仿宋_GB2312" w:hint="eastAsia"/>
        <w:sz w:val="28"/>
        <w:szCs w:val="28"/>
      </w:rPr>
    </w:pPr>
    <w:r w:rsidRPr="00327564">
      <w:rPr>
        <w:rStyle w:val="a5"/>
        <w:rFonts w:ascii="仿宋_GB2312" w:eastAsia="仿宋_GB2312" w:hint="eastAsia"/>
        <w:sz w:val="28"/>
        <w:szCs w:val="28"/>
      </w:rPr>
      <w:fldChar w:fldCharType="begin"/>
    </w:r>
    <w:r w:rsidRPr="00327564">
      <w:rPr>
        <w:rStyle w:val="a5"/>
        <w:rFonts w:ascii="仿宋_GB2312" w:eastAsia="仿宋_GB2312" w:hint="eastAsia"/>
        <w:sz w:val="28"/>
        <w:szCs w:val="28"/>
      </w:rPr>
      <w:instrText>PAGE</w:instrText>
    </w:r>
    <w:r w:rsidRPr="00327564">
      <w:rPr>
        <w:rStyle w:val="a5"/>
        <w:rFonts w:ascii="仿宋_GB2312" w:eastAsia="仿宋_GB2312" w:hint="eastAsia"/>
        <w:sz w:val="28"/>
        <w:szCs w:val="28"/>
      </w:rPr>
      <w:instrText xml:space="preserve">  </w:instrText>
    </w:r>
    <w:r w:rsidRPr="00327564">
      <w:rPr>
        <w:rStyle w:val="a5"/>
        <w:rFonts w:ascii="仿宋_GB2312" w:eastAsia="仿宋_GB2312" w:hint="eastAsia"/>
        <w:sz w:val="28"/>
        <w:szCs w:val="28"/>
      </w:rPr>
      <w:fldChar w:fldCharType="separate"/>
    </w:r>
    <w:r w:rsidR="00D31198">
      <w:rPr>
        <w:rStyle w:val="a5"/>
        <w:rFonts w:ascii="仿宋_GB2312" w:eastAsia="仿宋_GB2312"/>
        <w:noProof/>
        <w:sz w:val="28"/>
        <w:szCs w:val="28"/>
      </w:rPr>
      <w:t>- 3 -</w:t>
    </w:r>
    <w:r w:rsidRPr="00327564">
      <w:rPr>
        <w:rStyle w:val="a5"/>
        <w:rFonts w:ascii="仿宋_GB2312" w:eastAsia="仿宋_GB2312" w:hint="eastAsia"/>
        <w:sz w:val="28"/>
        <w:szCs w:val="28"/>
      </w:rPr>
      <w:fldChar w:fldCharType="end"/>
    </w:r>
  </w:p>
  <w:p w:rsidR="0084025E" w:rsidRDefault="0033620B" w:rsidP="0035408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20B" w:rsidRDefault="0033620B" w:rsidP="00D31198">
      <w:r>
        <w:separator/>
      </w:r>
    </w:p>
  </w:footnote>
  <w:footnote w:type="continuationSeparator" w:id="0">
    <w:p w:rsidR="0033620B" w:rsidRDefault="0033620B" w:rsidP="00D31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5E" w:rsidRDefault="0033620B" w:rsidP="0032756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198"/>
    <w:rsid w:val="0033620B"/>
    <w:rsid w:val="00474CDA"/>
    <w:rsid w:val="00D31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311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31198"/>
    <w:rPr>
      <w:sz w:val="18"/>
      <w:szCs w:val="18"/>
    </w:rPr>
  </w:style>
  <w:style w:type="paragraph" w:styleId="a4">
    <w:name w:val="footer"/>
    <w:basedOn w:val="a"/>
    <w:link w:val="Char0"/>
    <w:unhideWhenUsed/>
    <w:rsid w:val="00D311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31198"/>
    <w:rPr>
      <w:sz w:val="18"/>
      <w:szCs w:val="18"/>
    </w:rPr>
  </w:style>
  <w:style w:type="character" w:styleId="a5">
    <w:name w:val="page number"/>
    <w:basedOn w:val="a0"/>
    <w:rsid w:val="00D31198"/>
  </w:style>
  <w:style w:type="paragraph" w:styleId="a6">
    <w:name w:val="Normal (Web)"/>
    <w:basedOn w:val="a"/>
    <w:rsid w:val="00D31198"/>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2017-01-16T07:38:00Z</dcterms:created>
  <dcterms:modified xsi:type="dcterms:W3CDTF">2017-01-16T07:39:00Z</dcterms:modified>
</cp:coreProperties>
</file>