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32"/>
        <w:gridCol w:w="1060"/>
        <w:gridCol w:w="60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4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hint="eastAsia" w:ascii="仿宋_GB2312" w:hAnsi="宋体" w:eastAsia="仿宋_GB2312" w:cs="宋体"/>
                <w:b/>
                <w:color w:val="45454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454545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60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方正小标宋简体" w:hAnsi="宋体" w:eastAsia="方正小标宋简体" w:cs="宋体"/>
                <w:b/>
                <w:color w:val="454545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454545"/>
                <w:kern w:val="0"/>
                <w:sz w:val="44"/>
                <w:szCs w:val="44"/>
              </w:rPr>
              <w:t>北京市工伤保险行业基准费率和浮动档次表</w:t>
            </w:r>
            <w:r>
              <w:rPr>
                <w:rFonts w:hint="eastAsia" w:ascii="方正小标宋简体" w:hAnsi="宋体" w:eastAsia="方正小标宋简体" w:cs="宋体"/>
                <w:b/>
                <w:color w:val="454545"/>
                <w:kern w:val="0"/>
                <w:sz w:val="44"/>
                <w:szCs w:val="4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行业</w:t>
            </w: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行业基</w:t>
            </w: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行业内费率</w:t>
            </w:r>
          </w:p>
        </w:tc>
        <w:tc>
          <w:tcPr>
            <w:tcW w:w="60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行业名称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类别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准费率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浮动档次</w:t>
            </w:r>
          </w:p>
        </w:tc>
        <w:tc>
          <w:tcPr>
            <w:tcW w:w="60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0.2</w:t>
            </w:r>
          </w:p>
        </w:tc>
        <w:tc>
          <w:tcPr>
            <w:tcW w:w="601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银行业，证券业，保险业，其他金融活动业，居民服务业，其他服务业,租赁业，商务服务业</w:t>
            </w:r>
            <w:r>
              <w:rPr>
                <w:rFonts w:hint="eastAsia" w:ascii="宋体" w:hAnsi="宋体" w:cs="宋体"/>
                <w:b/>
                <w:color w:val="454545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住宿业，餐饮业，批发业，零售业，仓储业,邮政业,电信和其他</w:t>
            </w:r>
            <w:r>
              <w:rPr>
                <w:rFonts w:hint="eastAsia" w:ascii="宋体" w:hAnsi="宋体" w:cs="宋体"/>
                <w:b/>
                <w:color w:val="454545"/>
                <w:kern w:val="0"/>
                <w:sz w:val="20"/>
                <w:szCs w:val="20"/>
              </w:rPr>
              <w:t>信息</w:t>
            </w: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传输服务业，计算机服务业，软件业，卫生，社会保障业，社会福利业，新闻出版业，广播、电视、电影和音像业，文化艺术业，教育，研究与试验发展，专业技术服务业，科技交流和推广服务业，城市公共交通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0.3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一</w:t>
            </w: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0.5</w:t>
            </w: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0.4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0.5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0.5</w:t>
            </w:r>
          </w:p>
        </w:tc>
        <w:tc>
          <w:tcPr>
            <w:tcW w:w="6015" w:type="dxa"/>
            <w:vMerge w:val="restart"/>
            <w:tcBorders>
              <w:top w:val="single" w:color="auto" w:sz="4" w:space="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房地产业,体育,娱乐业,水利管理业,环境管理业,公共设施管理业,农副食品加工业，食品制造业，饮料制造业，烟草制</w:t>
            </w:r>
            <w:r>
              <w:rPr>
                <w:rFonts w:hint="eastAsia" w:ascii="宋体" w:hAnsi="宋体" w:cs="宋体"/>
                <w:b/>
                <w:color w:val="454545"/>
                <w:kern w:val="0"/>
                <w:sz w:val="20"/>
                <w:szCs w:val="20"/>
              </w:rPr>
              <w:t>品</w:t>
            </w: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业，纺织业，纺织服装、鞋、帽制造业，皮革、毛皮、羽毛(绒)及其制品业，</w:t>
            </w:r>
            <w:r>
              <w:rPr>
                <w:rFonts w:hint="eastAsia" w:ascii="宋体" w:hAnsi="宋体" w:cs="宋体"/>
                <w:b/>
                <w:color w:val="454545"/>
                <w:kern w:val="0"/>
                <w:sz w:val="20"/>
                <w:szCs w:val="20"/>
              </w:rPr>
              <w:t>林业，农业，畜牧业，渔业，农、林、牧、渔服务业，</w:t>
            </w: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木材加工及木、竹、藤、棕、草制品业，家具制造业，造纸及纸制品业，印刷业和记录媒介的复制，文教体育用品制造业，化学纤维制造业，医药制造业，通用设备制造业，专用设备制造业，交通运输设备制造业，电气机械及器材制造业，仪器仪表及文化、办公用机械制造业，非金属矿物制品业，金属制品业，橡胶制品业，塑料制品业，通信设备、计算机及其他电子设备制造业，工艺品及其他制造业，废弃资源和废旧材料回收加工业，电力、热力的生产和供应业，燃气生产和供应业，水的生产和供应业，房屋和土木工程建筑业，建筑安装业，建筑装饰业，其他建筑业，地质勘查业，铁路运输业，道路运输业，水上运输业，航空运输业，管道运输业，装卸搬运和其他运输服务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0.8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二</w:t>
            </w: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1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1.2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1.5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　</w:t>
            </w:r>
          </w:p>
        </w:tc>
        <w:tc>
          <w:tcPr>
            <w:tcW w:w="6015" w:type="dxa"/>
            <w:vMerge w:val="continue"/>
            <w:tcBorders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1</w:t>
            </w:r>
          </w:p>
        </w:tc>
        <w:tc>
          <w:tcPr>
            <w:tcW w:w="601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石油加工</w:t>
            </w:r>
            <w:r>
              <w:rPr>
                <w:rFonts w:hint="eastAsia" w:ascii="宋体" w:hAnsi="宋体" w:cs="宋体"/>
                <w:b/>
                <w:color w:val="454545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炼焦及核燃料加工业，化学原料及化学制品制造业，黑色金属冶炼及压延加工业，有色金属冶炼及压延加工业，石油和天然气开采业，黑色金属矿采选业，有色金属矿采选业，非金属矿采选业，煤炭开采和洗选业，其他采矿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1.6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三</w:t>
            </w: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2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8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  <w:tc>
          <w:tcPr>
            <w:tcW w:w="10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2.4</w:t>
            </w:r>
          </w:p>
        </w:tc>
        <w:tc>
          <w:tcPr>
            <w:tcW w:w="6015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b/>
                <w:color w:val="454545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3</w:t>
            </w:r>
          </w:p>
        </w:tc>
        <w:tc>
          <w:tcPr>
            <w:tcW w:w="601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47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right="1539" w:rightChars="733"/>
              <w:jc w:val="left"/>
              <w:rPr>
                <w:rFonts w:ascii="宋体" w:hAnsi="宋体" w:cs="宋体"/>
                <w:b/>
                <w:color w:val="454545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454545"/>
                <w:kern w:val="0"/>
                <w:sz w:val="20"/>
                <w:szCs w:val="20"/>
              </w:rPr>
              <w:t xml:space="preserve">　　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606AB"/>
    <w:rsid w:val="237606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2016-11-24T07:33:00Z</dcterms:created>
  <dc:creator>banruo</dc:creator>
  <cp:lastModifiedBy>banruo</cp:lastModifiedBy>
  <dcterms:modified xsi:type="dcterms:W3CDTF">2016-11-24T07:33:26Z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