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45" w:rsidRPr="00360371" w:rsidRDefault="00FF4845" w:rsidP="00FF4845">
      <w:pPr>
        <w:tabs>
          <w:tab w:val="left" w:pos="12960"/>
        </w:tabs>
        <w:spacing w:line="500" w:lineRule="exact"/>
        <w:rPr>
          <w:rFonts w:ascii="仿宋_GB2312" w:hAnsi="黑体" w:hint="eastAsia"/>
        </w:rPr>
      </w:pPr>
      <w:r w:rsidRPr="00360371">
        <w:rPr>
          <w:rFonts w:ascii="仿宋_GB2312" w:hAnsi="黑体" w:hint="eastAsia"/>
        </w:rPr>
        <w:t>附件：</w:t>
      </w:r>
    </w:p>
    <w:p w:rsidR="00FF4845" w:rsidRPr="00F35AF2" w:rsidRDefault="00FF4845" w:rsidP="00FF4845">
      <w:pPr>
        <w:tabs>
          <w:tab w:val="left" w:pos="12960"/>
        </w:tabs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35AF2">
        <w:rPr>
          <w:rFonts w:ascii="方正小标宋简体" w:eastAsia="方正小标宋简体" w:hAnsi="黑体" w:hint="eastAsia"/>
          <w:sz w:val="44"/>
          <w:szCs w:val="44"/>
        </w:rPr>
        <w:t>北京市西城区清洁空气行动计划</w:t>
      </w:r>
    </w:p>
    <w:p w:rsidR="00FF4845" w:rsidRPr="00F35AF2" w:rsidRDefault="00FF4845" w:rsidP="00FF4845">
      <w:pPr>
        <w:spacing w:line="500" w:lineRule="exact"/>
        <w:ind w:rightChars="46" w:right="147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35AF2">
        <w:rPr>
          <w:rFonts w:ascii="方正小标宋简体" w:eastAsia="方正小标宋简体" w:hAnsi="黑体" w:hint="eastAsia"/>
          <w:sz w:val="44"/>
          <w:szCs w:val="44"/>
        </w:rPr>
        <w:t>（2011-2015年大气污染控制措施）任务分解表</w:t>
      </w:r>
    </w:p>
    <w:p w:rsidR="00FF4845" w:rsidRPr="003F7868" w:rsidRDefault="00FF4845" w:rsidP="00FF4845">
      <w:pPr>
        <w:spacing w:line="500" w:lineRule="exact"/>
        <w:ind w:rightChars="46" w:right="147"/>
        <w:jc w:val="center"/>
        <w:rPr>
          <w:rFonts w:ascii="黑体" w:eastAsia="黑体" w:hAnsi="黑体" w:hint="eastAsia"/>
          <w:b/>
          <w:sz w:val="36"/>
          <w:szCs w:val="36"/>
        </w:rPr>
      </w:pPr>
    </w:p>
    <w:tbl>
      <w:tblPr>
        <w:tblStyle w:val="a5"/>
        <w:tblW w:w="14060" w:type="dxa"/>
        <w:tblLayout w:type="fixed"/>
        <w:tblLook w:val="01E0"/>
      </w:tblPr>
      <w:tblGrid>
        <w:gridCol w:w="2016"/>
        <w:gridCol w:w="66"/>
        <w:gridCol w:w="722"/>
        <w:gridCol w:w="7192"/>
        <w:gridCol w:w="50"/>
        <w:gridCol w:w="1985"/>
        <w:gridCol w:w="50"/>
        <w:gridCol w:w="74"/>
        <w:gridCol w:w="1905"/>
      </w:tblGrid>
      <w:tr w:rsidR="00FF4845" w:rsidTr="00D76B97">
        <w:trPr>
          <w:trHeight w:val="90"/>
          <w:tblHeader/>
        </w:trPr>
        <w:tc>
          <w:tcPr>
            <w:tcW w:w="2016" w:type="dxa"/>
            <w:vAlign w:val="center"/>
          </w:tcPr>
          <w:p w:rsidR="00FF4845" w:rsidRPr="00E63C8B" w:rsidRDefault="00FF4845" w:rsidP="00D76B97">
            <w:pPr>
              <w:spacing w:line="380" w:lineRule="exact"/>
              <w:ind w:firstLine="480"/>
              <w:jc w:val="center"/>
              <w:rPr>
                <w:rFonts w:ascii="黑体" w:eastAsia="黑体" w:hint="eastAsia"/>
                <w:b/>
                <w:sz w:val="24"/>
              </w:rPr>
            </w:pPr>
            <w:r w:rsidRPr="00E63C8B">
              <w:rPr>
                <w:rFonts w:ascii="黑体" w:eastAsia="黑体" w:hint="eastAsia"/>
                <w:b/>
                <w:sz w:val="24"/>
              </w:rPr>
              <w:t>工作内容</w:t>
            </w:r>
          </w:p>
        </w:tc>
        <w:tc>
          <w:tcPr>
            <w:tcW w:w="788" w:type="dxa"/>
            <w:gridSpan w:val="2"/>
            <w:vAlign w:val="center"/>
          </w:tcPr>
          <w:p w:rsidR="00FF4845" w:rsidRPr="00E63C8B" w:rsidRDefault="00FF4845" w:rsidP="00D76B97">
            <w:pPr>
              <w:spacing w:line="380" w:lineRule="exact"/>
              <w:rPr>
                <w:rFonts w:ascii="黑体" w:eastAsia="黑体" w:hint="eastAsia"/>
                <w:b/>
                <w:sz w:val="24"/>
              </w:rPr>
            </w:pPr>
            <w:r w:rsidRPr="00E63C8B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E63C8B" w:rsidRDefault="00FF4845" w:rsidP="00D76B97">
            <w:pPr>
              <w:spacing w:line="380" w:lineRule="exact"/>
              <w:ind w:firstLine="480"/>
              <w:jc w:val="center"/>
              <w:rPr>
                <w:rFonts w:ascii="黑体" w:eastAsia="黑体" w:hint="eastAsia"/>
                <w:b/>
                <w:sz w:val="24"/>
              </w:rPr>
            </w:pPr>
            <w:r w:rsidRPr="00E63C8B">
              <w:rPr>
                <w:rFonts w:ascii="黑体" w:eastAsia="黑体" w:hint="eastAsia"/>
                <w:b/>
                <w:sz w:val="24"/>
              </w:rPr>
              <w:t>主要任务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E63C8B" w:rsidRDefault="00FF4845" w:rsidP="00D76B97">
            <w:pPr>
              <w:spacing w:line="380" w:lineRule="exact"/>
              <w:ind w:firstLine="480"/>
              <w:jc w:val="center"/>
              <w:rPr>
                <w:rFonts w:ascii="黑体" w:eastAsia="黑体" w:hint="eastAsia"/>
                <w:b/>
                <w:sz w:val="24"/>
              </w:rPr>
            </w:pPr>
            <w:r w:rsidRPr="00E63C8B">
              <w:rPr>
                <w:rFonts w:ascii="黑体" w:eastAsia="黑体" w:hint="eastAsia"/>
                <w:b/>
                <w:sz w:val="24"/>
              </w:rPr>
              <w:t>主责单位</w:t>
            </w:r>
          </w:p>
        </w:tc>
        <w:tc>
          <w:tcPr>
            <w:tcW w:w="1979" w:type="dxa"/>
            <w:gridSpan w:val="2"/>
            <w:vAlign w:val="center"/>
          </w:tcPr>
          <w:p w:rsidR="00FF4845" w:rsidRPr="00E63C8B" w:rsidRDefault="00FF4845" w:rsidP="00D76B97">
            <w:pPr>
              <w:spacing w:line="380" w:lineRule="exact"/>
              <w:ind w:firstLine="480"/>
              <w:jc w:val="center"/>
              <w:rPr>
                <w:rFonts w:ascii="黑体" w:eastAsia="黑体" w:hint="eastAsia"/>
                <w:b/>
                <w:sz w:val="24"/>
              </w:rPr>
            </w:pPr>
            <w:r w:rsidRPr="00E63C8B">
              <w:rPr>
                <w:rFonts w:ascii="黑体" w:eastAsia="黑体" w:hint="eastAsia"/>
                <w:b/>
                <w:sz w:val="24"/>
              </w:rPr>
              <w:t>协办单位</w:t>
            </w:r>
          </w:p>
        </w:tc>
      </w:tr>
      <w:tr w:rsidR="00FF4845" w:rsidTr="00D76B97">
        <w:trPr>
          <w:trHeight w:val="605"/>
        </w:trPr>
        <w:tc>
          <w:tcPr>
            <w:tcW w:w="14060" w:type="dxa"/>
            <w:gridSpan w:val="9"/>
            <w:vAlign w:val="center"/>
          </w:tcPr>
          <w:p w:rsidR="00FF4845" w:rsidRPr="003012BF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b/>
                <w:sz w:val="24"/>
              </w:rPr>
            </w:pPr>
            <w:r w:rsidRPr="003012BF">
              <w:rPr>
                <w:rFonts w:ascii="仿宋_GB2312" w:hint="eastAsia"/>
                <w:b/>
                <w:sz w:val="24"/>
              </w:rPr>
              <w:t>空气质量指标</w:t>
            </w:r>
          </w:p>
        </w:tc>
      </w:tr>
      <w:tr w:rsidR="00FF4845" w:rsidTr="00D76B97">
        <w:trPr>
          <w:trHeight w:val="2010"/>
        </w:trPr>
        <w:tc>
          <w:tcPr>
            <w:tcW w:w="2082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2015年空气</w:t>
            </w:r>
          </w:p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质量指标</w:t>
            </w:r>
          </w:p>
        </w:tc>
        <w:tc>
          <w:tcPr>
            <w:tcW w:w="7914" w:type="dxa"/>
            <w:gridSpan w:val="2"/>
            <w:vAlign w:val="center"/>
          </w:tcPr>
          <w:p w:rsidR="00FF4845" w:rsidRPr="0062742F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二级和好于二级的天数比例达到80%</w:t>
            </w:r>
            <w:r>
              <w:rPr>
                <w:rFonts w:ascii="仿宋_GB2312" w:hint="eastAsia"/>
                <w:sz w:val="24"/>
              </w:rPr>
              <w:t>；</w:t>
            </w:r>
            <w:r w:rsidRPr="005B59EB">
              <w:rPr>
                <w:rFonts w:ascii="仿宋_GB2312" w:hint="eastAsia"/>
                <w:sz w:val="24"/>
              </w:rPr>
              <w:t>可吸入颗粒物年均浓度</w:t>
            </w:r>
            <w:r w:rsidRPr="0062742F">
              <w:rPr>
                <w:rFonts w:ascii="仿宋_GB2312" w:hint="eastAsia"/>
                <w:sz w:val="24"/>
              </w:rPr>
              <w:t>比2010年的0.122mg/m</w:t>
            </w:r>
            <w:r w:rsidRPr="0062742F">
              <w:rPr>
                <w:rFonts w:ascii="仿宋_GB2312" w:hint="eastAsia"/>
                <w:sz w:val="24"/>
                <w:vertAlign w:val="superscript"/>
              </w:rPr>
              <w:t>3</w:t>
            </w:r>
            <w:r w:rsidRPr="0062742F">
              <w:rPr>
                <w:rFonts w:ascii="仿宋_GB2312" w:hint="eastAsia"/>
                <w:sz w:val="24"/>
              </w:rPr>
              <w:t>下降10%，达到0.1098mg/m</w:t>
            </w:r>
            <w:r w:rsidRPr="0062742F">
              <w:rPr>
                <w:rFonts w:ascii="仿宋_GB2312" w:hint="eastAsia"/>
                <w:sz w:val="24"/>
                <w:vertAlign w:val="superscript"/>
              </w:rPr>
              <w:t>3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Pr="00350D67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 w:rsidRPr="00350D67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区环卫中心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区园林绿化局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区城管监察大队</w:t>
            </w:r>
          </w:p>
          <w:p w:rsidR="00FF4845" w:rsidRPr="00350D67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 w:rsidRPr="00350D67">
              <w:rPr>
                <w:rFonts w:ascii="仿宋_GB2312" w:hint="eastAsia"/>
                <w:spacing w:val="-20"/>
                <w:sz w:val="24"/>
              </w:rPr>
              <w:t>展览路街道办事处</w:t>
            </w:r>
          </w:p>
          <w:p w:rsidR="00FF4845" w:rsidRPr="00790DCE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350D67">
              <w:rPr>
                <w:rFonts w:ascii="仿宋_GB2312" w:hint="eastAsia"/>
                <w:spacing w:val="-20"/>
                <w:sz w:val="24"/>
              </w:rPr>
              <w:t>白纸坊街道办事处</w:t>
            </w:r>
          </w:p>
        </w:tc>
        <w:tc>
          <w:tcPr>
            <w:tcW w:w="2029" w:type="dxa"/>
            <w:gridSpan w:val="3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各相关单位</w:t>
            </w:r>
          </w:p>
        </w:tc>
      </w:tr>
      <w:tr w:rsidR="00FF4845" w:rsidTr="00D76B97">
        <w:trPr>
          <w:trHeight w:val="620"/>
        </w:trPr>
        <w:tc>
          <w:tcPr>
            <w:tcW w:w="14060" w:type="dxa"/>
            <w:gridSpan w:val="9"/>
            <w:vAlign w:val="center"/>
          </w:tcPr>
          <w:p w:rsidR="00FF4845" w:rsidRPr="003012BF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b/>
                <w:sz w:val="24"/>
              </w:rPr>
            </w:pPr>
            <w:r w:rsidRPr="003012BF">
              <w:rPr>
                <w:rFonts w:ascii="仿宋_GB2312" w:hint="eastAsia"/>
                <w:b/>
                <w:sz w:val="24"/>
              </w:rPr>
              <w:t>一、坚持总量控制，推动经济发展方式转变</w:t>
            </w:r>
          </w:p>
        </w:tc>
      </w:tr>
      <w:tr w:rsidR="00FF4845" w:rsidTr="00D76B97">
        <w:trPr>
          <w:trHeight w:val="1393"/>
        </w:trPr>
        <w:tc>
          <w:tcPr>
            <w:tcW w:w="2016" w:type="dxa"/>
            <w:vMerge w:val="restart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完善大气污染物总量减排体系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D8605F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D8605F">
              <w:rPr>
                <w:rFonts w:ascii="仿宋_GB2312" w:hint="eastAsia"/>
                <w:sz w:val="24"/>
              </w:rPr>
              <w:t>建立污染源排放数据清单，依据空气质量改善工作目标，</w:t>
            </w:r>
            <w:r>
              <w:rPr>
                <w:rFonts w:ascii="仿宋_GB2312" w:hint="eastAsia"/>
                <w:sz w:val="24"/>
              </w:rPr>
              <w:t>明确</w:t>
            </w:r>
            <w:r w:rsidRPr="00D8605F">
              <w:rPr>
                <w:rFonts w:ascii="仿宋_GB2312" w:hint="eastAsia"/>
                <w:sz w:val="24"/>
              </w:rPr>
              <w:t>可吸入颗粒物、氮氧化物、二氧化硫、挥发性有机物等主要污染物年度总量减排项目</w:t>
            </w:r>
            <w:r>
              <w:rPr>
                <w:rFonts w:ascii="仿宋_GB2312" w:hint="eastAsia"/>
                <w:sz w:val="24"/>
              </w:rPr>
              <w:t>。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</w:tc>
        <w:tc>
          <w:tcPr>
            <w:tcW w:w="1979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F4845" w:rsidTr="00D76B97">
        <w:trPr>
          <w:trHeight w:val="1212"/>
        </w:trPr>
        <w:tc>
          <w:tcPr>
            <w:tcW w:w="2016" w:type="dxa"/>
            <w:vMerge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</w:tcBorders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对于新增大气污染排放项目，按照“以新代老、增产减污、总量减少”原则进行规划、审批和建设。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Default="00FF4845" w:rsidP="00D76B97">
            <w:pPr>
              <w:spacing w:line="380" w:lineRule="exact"/>
              <w:ind w:firstLineChars="100" w:firstLine="24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西城工商分局</w:t>
            </w:r>
          </w:p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西城规划分局</w:t>
            </w:r>
          </w:p>
        </w:tc>
        <w:tc>
          <w:tcPr>
            <w:tcW w:w="1979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F4845" w:rsidTr="00D76B97">
        <w:trPr>
          <w:trHeight w:val="1856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构建绿色</w:t>
            </w:r>
          </w:p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t>能源体系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62742F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62742F">
              <w:rPr>
                <w:rFonts w:ascii="仿宋_GB2312" w:hint="eastAsia"/>
                <w:sz w:val="24"/>
              </w:rPr>
              <w:t>进一步提高天然气等清洁能源在能源结构中的比重，加快燃煤设施清洁能源改造，鼓励太阳能、地热等新能源的使用，推进新建筑节能措施的采用，实现“无煤区”的目标</w:t>
            </w:r>
            <w:r>
              <w:rPr>
                <w:rFonts w:ascii="仿宋_GB2312" w:hint="eastAsia"/>
                <w:sz w:val="24"/>
              </w:rPr>
              <w:t>。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Pr="005B59EB" w:rsidRDefault="00FF4845" w:rsidP="00D76B97">
            <w:pPr>
              <w:spacing w:line="380" w:lineRule="exact"/>
              <w:ind w:firstLineChars="100" w:firstLine="24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79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各有关单位</w:t>
            </w:r>
          </w:p>
        </w:tc>
      </w:tr>
      <w:tr w:rsidR="00FF4845" w:rsidTr="00D76B97">
        <w:trPr>
          <w:trHeight w:val="1537"/>
        </w:trPr>
        <w:tc>
          <w:tcPr>
            <w:tcW w:w="2016" w:type="dxa"/>
            <w:vMerge w:val="restart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3012BF">
              <w:rPr>
                <w:rFonts w:ascii="仿宋_GB2312" w:hint="eastAsia"/>
                <w:sz w:val="24"/>
              </w:rPr>
              <w:t>完善公共</w:t>
            </w:r>
          </w:p>
          <w:p w:rsidR="00FF4845" w:rsidRPr="003012BF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3012BF">
              <w:rPr>
                <w:rFonts w:ascii="仿宋_GB2312" w:hint="eastAsia"/>
                <w:sz w:val="24"/>
              </w:rPr>
              <w:t>交通系统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1405A1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1405A1">
              <w:rPr>
                <w:rFonts w:ascii="仿宋_GB2312" w:hint="eastAsia"/>
                <w:sz w:val="24"/>
              </w:rPr>
              <w:t>推进地铁6、7、8、16号线等重点项目和西二环地下隧道建设，加快道路建设，打通断头路，改善重点地区道路微循环，提高区域路网的系统性、连通性和可达性。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350D67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 w:rsidRPr="00350D67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</w:tc>
        <w:tc>
          <w:tcPr>
            <w:tcW w:w="1979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区财政局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西城规划分局</w:t>
            </w:r>
          </w:p>
        </w:tc>
      </w:tr>
      <w:tr w:rsidR="00FF4845" w:rsidTr="00D76B97">
        <w:trPr>
          <w:trHeight w:val="1276"/>
        </w:trPr>
        <w:tc>
          <w:tcPr>
            <w:tcW w:w="2016" w:type="dxa"/>
            <w:vMerge/>
            <w:vAlign w:val="center"/>
          </w:tcPr>
          <w:p w:rsidR="00FF4845" w:rsidRPr="003012BF" w:rsidRDefault="00FF4845" w:rsidP="00D76B97">
            <w:pPr>
              <w:spacing w:line="380" w:lineRule="exact"/>
              <w:ind w:firstLine="480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1405A1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1405A1">
              <w:rPr>
                <w:rFonts w:ascii="仿宋_GB2312" w:hint="eastAsia"/>
                <w:sz w:val="24"/>
              </w:rPr>
              <w:t>改善公共交通换乘条件，在具备条件的中小学和单位试行校车、班车接送，建设公共自行车服务系统，完善自行车专用道和行人步道网络，提高绿色出行比例。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ind w:firstLineChars="50" w:firstLine="12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Default="00FF4845" w:rsidP="00D76B97">
            <w:pPr>
              <w:spacing w:line="380" w:lineRule="exact"/>
              <w:ind w:firstLineChars="50" w:firstLine="12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区教委</w:t>
            </w:r>
          </w:p>
        </w:tc>
        <w:tc>
          <w:tcPr>
            <w:tcW w:w="1979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西城规划分局</w:t>
            </w:r>
          </w:p>
          <w:p w:rsidR="00FF4845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F4845" w:rsidTr="00D76B97">
        <w:trPr>
          <w:trHeight w:val="2487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5B59EB">
              <w:rPr>
                <w:rFonts w:ascii="仿宋_GB2312" w:hint="eastAsia"/>
                <w:sz w:val="24"/>
              </w:rPr>
              <w:lastRenderedPageBreak/>
              <w:t>开展生态</w:t>
            </w:r>
          </w:p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科技</w:t>
            </w:r>
            <w:r w:rsidRPr="005B59EB">
              <w:rPr>
                <w:rFonts w:ascii="仿宋_GB2312" w:hint="eastAsia"/>
                <w:sz w:val="24"/>
              </w:rPr>
              <w:t>园区建设</w:t>
            </w:r>
          </w:p>
        </w:tc>
        <w:tc>
          <w:tcPr>
            <w:tcW w:w="788" w:type="dxa"/>
            <w:gridSpan w:val="2"/>
            <w:vAlign w:val="center"/>
          </w:tcPr>
          <w:p w:rsidR="00FF4845" w:rsidRPr="000E1BD1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0E1BD1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930BA5">
              <w:rPr>
                <w:rFonts w:ascii="仿宋_GB2312" w:hint="eastAsia"/>
                <w:sz w:val="24"/>
              </w:rPr>
              <w:t>按照推进产业发展、提升环境品质、服务人民生活的原则，构建“一核、一带、多园区”空间发展布局，加强科技园区建设，集中力量打造以金融业为核心的经济增长极，重点发展研发设计、文化创意、金融后台、高端交易等产业，建设有特色的自主创新示范园区。园区要进一步规范管理，明确产业发展方向，提升技术水平，实施清洁生产，减少污染排放。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区产业促进局</w:t>
            </w:r>
          </w:p>
        </w:tc>
        <w:tc>
          <w:tcPr>
            <w:tcW w:w="1979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</w:tr>
      <w:tr w:rsidR="00FF4845" w:rsidTr="00D76B97">
        <w:trPr>
          <w:trHeight w:val="431"/>
        </w:trPr>
        <w:tc>
          <w:tcPr>
            <w:tcW w:w="14060" w:type="dxa"/>
            <w:gridSpan w:val="9"/>
            <w:vAlign w:val="center"/>
          </w:tcPr>
          <w:p w:rsidR="00FF4845" w:rsidRPr="008606FD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b/>
                <w:sz w:val="24"/>
              </w:rPr>
            </w:pPr>
            <w:r w:rsidRPr="008606FD">
              <w:rPr>
                <w:rFonts w:ascii="仿宋_GB2312" w:hint="eastAsia"/>
                <w:b/>
                <w:sz w:val="24"/>
              </w:rPr>
              <w:t>二、</w:t>
            </w:r>
            <w:r>
              <w:rPr>
                <w:rFonts w:ascii="仿宋_GB2312" w:hint="eastAsia"/>
                <w:b/>
                <w:sz w:val="24"/>
              </w:rPr>
              <w:t>强化治理措施</w:t>
            </w:r>
            <w:r w:rsidRPr="008606FD">
              <w:rPr>
                <w:rFonts w:ascii="仿宋_GB2312" w:hint="eastAsia"/>
                <w:b/>
                <w:sz w:val="24"/>
              </w:rPr>
              <w:t>，全面控制大气污染</w:t>
            </w:r>
          </w:p>
        </w:tc>
      </w:tr>
      <w:tr w:rsidR="00FF4845" w:rsidTr="00D76B97">
        <w:trPr>
          <w:trHeight w:val="1112"/>
        </w:trPr>
        <w:tc>
          <w:tcPr>
            <w:tcW w:w="2016" w:type="dxa"/>
            <w:vMerge w:val="restart"/>
            <w:vAlign w:val="center"/>
          </w:tcPr>
          <w:p w:rsidR="00FF4845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深化</w:t>
            </w:r>
            <w:r w:rsidRPr="005B59EB">
              <w:rPr>
                <w:rFonts w:ascii="仿宋_GB2312" w:hint="eastAsia"/>
                <w:sz w:val="24"/>
              </w:rPr>
              <w:t>燃煤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污染治理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8606FD" w:rsidRDefault="00FF4845" w:rsidP="00D76B97">
            <w:pPr>
              <w:spacing w:line="380" w:lineRule="exact"/>
              <w:ind w:leftChars="20" w:left="64" w:firstLine="480"/>
              <w:rPr>
                <w:rFonts w:ascii="仿宋_GB2312" w:hint="eastAsia"/>
                <w:sz w:val="24"/>
              </w:rPr>
            </w:pPr>
            <w:r w:rsidRPr="008606FD">
              <w:rPr>
                <w:sz w:val="24"/>
                <w:lang w:val="zh-CN"/>
              </w:rPr>
              <w:t>完成裕中西里、广外供热厂</w:t>
            </w:r>
            <w:r w:rsidRPr="008606FD">
              <w:rPr>
                <w:rFonts w:hint="eastAsia"/>
                <w:sz w:val="24"/>
                <w:lang w:val="zh-CN"/>
              </w:rPr>
              <w:t>20</w:t>
            </w:r>
            <w:r>
              <w:rPr>
                <w:rFonts w:hint="eastAsia"/>
                <w:sz w:val="24"/>
                <w:lang w:val="zh-CN"/>
              </w:rPr>
              <w:t>0</w:t>
            </w:r>
            <w:r w:rsidRPr="008606FD">
              <w:rPr>
                <w:rFonts w:hint="eastAsia"/>
                <w:sz w:val="24"/>
                <w:lang w:val="zh-CN"/>
              </w:rPr>
              <w:t>蒸吨</w:t>
            </w:r>
            <w:r w:rsidRPr="008606FD">
              <w:rPr>
                <w:sz w:val="24"/>
                <w:lang w:val="zh-CN"/>
              </w:rPr>
              <w:t>燃煤锅炉</w:t>
            </w:r>
            <w:r w:rsidRPr="008606FD">
              <w:rPr>
                <w:rFonts w:hint="eastAsia"/>
                <w:sz w:val="24"/>
                <w:lang w:val="zh-CN"/>
              </w:rPr>
              <w:t>改用</w:t>
            </w:r>
            <w:r w:rsidRPr="008606FD">
              <w:rPr>
                <w:sz w:val="24"/>
                <w:lang w:val="zh-CN"/>
              </w:rPr>
              <w:t>清洁能源</w:t>
            </w:r>
            <w:r w:rsidRPr="008606FD">
              <w:rPr>
                <w:rFonts w:hint="eastAsia"/>
                <w:sz w:val="24"/>
                <w:lang w:val="zh-CN"/>
              </w:rPr>
              <w:t>工作</w:t>
            </w:r>
            <w:r>
              <w:rPr>
                <w:rFonts w:hint="eastAsia"/>
                <w:sz w:val="24"/>
                <w:lang w:val="zh-CN"/>
              </w:rPr>
              <w:t>。</w:t>
            </w:r>
          </w:p>
        </w:tc>
        <w:tc>
          <w:tcPr>
            <w:tcW w:w="2109" w:type="dxa"/>
            <w:gridSpan w:val="3"/>
            <w:vAlign w:val="center"/>
          </w:tcPr>
          <w:p w:rsidR="00FF4845" w:rsidRPr="00834735" w:rsidRDefault="00FF4845" w:rsidP="00D76B97">
            <w:pPr>
              <w:spacing w:line="380" w:lineRule="exact"/>
              <w:rPr>
                <w:rFonts w:ascii="仿宋_GB2312" w:hAnsi="仿宋" w:hint="eastAsia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区</w:t>
            </w:r>
            <w:r w:rsidRPr="00834735">
              <w:rPr>
                <w:rFonts w:ascii="仿宋_GB2312" w:hAnsi="仿宋" w:hint="eastAsia"/>
                <w:color w:val="000000"/>
                <w:sz w:val="24"/>
              </w:rPr>
              <w:t>环保局</w:t>
            </w:r>
          </w:p>
          <w:p w:rsidR="00FF4845" w:rsidRPr="00834735" w:rsidRDefault="00FF4845" w:rsidP="00D76B97">
            <w:pPr>
              <w:spacing w:line="380" w:lineRule="exact"/>
              <w:rPr>
                <w:rFonts w:ascii="仿宋_GB2312" w:hAnsi="仿宋" w:hint="eastAsia"/>
                <w:color w:val="000000"/>
                <w:sz w:val="24"/>
              </w:rPr>
            </w:pPr>
            <w:r>
              <w:rPr>
                <w:rFonts w:ascii="仿宋_GB2312" w:hAnsi="仿宋" w:hint="eastAsia"/>
                <w:color w:val="000000"/>
                <w:sz w:val="24"/>
              </w:rPr>
              <w:t>区</w:t>
            </w:r>
            <w:r w:rsidRPr="00834735">
              <w:rPr>
                <w:rFonts w:ascii="仿宋_GB2312" w:hAnsi="仿宋" w:hint="eastAsia"/>
                <w:color w:val="000000"/>
                <w:sz w:val="24"/>
              </w:rPr>
              <w:t>市政市容委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Pr="00834735" w:rsidRDefault="00FF4845" w:rsidP="00D76B97">
            <w:pPr>
              <w:spacing w:line="380" w:lineRule="exact"/>
              <w:rPr>
                <w:rFonts w:ascii="仿宋_GB2312" w:hAnsi="仿宋" w:hint="eastAsia"/>
                <w:color w:val="000000"/>
                <w:sz w:val="24"/>
              </w:rPr>
            </w:pPr>
            <w:r w:rsidRPr="00834735">
              <w:rPr>
                <w:rFonts w:ascii="仿宋_GB2312" w:hAnsi="仿宋" w:hint="eastAsia"/>
                <w:color w:val="000000"/>
                <w:sz w:val="24"/>
              </w:rPr>
              <w:t>天恒热力公司</w:t>
            </w:r>
          </w:p>
          <w:p w:rsidR="00FF4845" w:rsidRPr="00834735" w:rsidRDefault="00FF4845" w:rsidP="00D76B97">
            <w:pPr>
              <w:spacing w:line="380" w:lineRule="exact"/>
              <w:rPr>
                <w:rFonts w:ascii="仿宋_GB2312" w:hAnsi="仿宋" w:hint="eastAsia"/>
                <w:color w:val="000000"/>
                <w:sz w:val="24"/>
              </w:rPr>
            </w:pPr>
            <w:r w:rsidRPr="00834735">
              <w:rPr>
                <w:rFonts w:ascii="仿宋_GB2312" w:hAnsi="仿宋" w:hint="eastAsia"/>
                <w:color w:val="000000"/>
                <w:sz w:val="24"/>
              </w:rPr>
              <w:t>西都地产</w:t>
            </w:r>
          </w:p>
          <w:p w:rsidR="00FF4845" w:rsidRPr="0083473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834735">
              <w:rPr>
                <w:rFonts w:ascii="仿宋_GB2312" w:hAnsi="仿宋" w:hint="eastAsia"/>
                <w:color w:val="000000"/>
                <w:sz w:val="24"/>
              </w:rPr>
              <w:t>宣房投资管理公司</w:t>
            </w:r>
          </w:p>
        </w:tc>
        <w:tc>
          <w:tcPr>
            <w:tcW w:w="1905" w:type="dxa"/>
            <w:vAlign w:val="center"/>
          </w:tcPr>
          <w:p w:rsidR="00FF4845" w:rsidRPr="000204A0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0204A0">
              <w:rPr>
                <w:rFonts w:ascii="仿宋_GB2312" w:hint="eastAsia"/>
                <w:sz w:val="24"/>
              </w:rPr>
              <w:t>区住房和城市建设委</w:t>
            </w:r>
          </w:p>
          <w:p w:rsidR="00FF4845" w:rsidRPr="000204A0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0204A0">
              <w:rPr>
                <w:rFonts w:ascii="仿宋_GB2312" w:hint="eastAsia"/>
                <w:sz w:val="24"/>
              </w:rPr>
              <w:t>区财政局</w:t>
            </w:r>
          </w:p>
          <w:p w:rsidR="00FF4845" w:rsidRPr="000204A0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0204A0">
              <w:rPr>
                <w:rFonts w:ascii="仿宋_GB2312" w:hint="eastAsia"/>
                <w:sz w:val="24"/>
              </w:rPr>
              <w:t>区质监局</w:t>
            </w:r>
          </w:p>
          <w:p w:rsidR="00FF4845" w:rsidRPr="000204A0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0204A0">
              <w:rPr>
                <w:rFonts w:ascii="仿宋_GB2312" w:hint="eastAsia"/>
                <w:sz w:val="24"/>
              </w:rPr>
              <w:t>西城国土分局</w:t>
            </w:r>
          </w:p>
          <w:p w:rsidR="00FF4845" w:rsidRPr="000204A0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0204A0">
              <w:rPr>
                <w:rFonts w:ascii="仿宋_GB2312" w:hint="eastAsia"/>
                <w:sz w:val="24"/>
              </w:rPr>
              <w:t>西城规划分局</w:t>
            </w:r>
          </w:p>
          <w:p w:rsidR="00FF4845" w:rsidRPr="0083473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0204A0">
              <w:rPr>
                <w:rFonts w:ascii="仿宋_GB2312" w:hint="eastAsia"/>
                <w:sz w:val="24"/>
              </w:rPr>
              <w:t>德胜街道办事处、广外街道办事处</w:t>
            </w:r>
          </w:p>
        </w:tc>
      </w:tr>
      <w:tr w:rsidR="00FF4845" w:rsidTr="00D76B97">
        <w:trPr>
          <w:trHeight w:val="1384"/>
        </w:trPr>
        <w:tc>
          <w:tcPr>
            <w:tcW w:w="2016" w:type="dxa"/>
            <w:vMerge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3240AB" w:rsidRDefault="00FF4845" w:rsidP="00D76B97">
            <w:pPr>
              <w:spacing w:line="380" w:lineRule="exact"/>
              <w:ind w:firstLine="480"/>
              <w:rPr>
                <w:rFonts w:hint="eastAsia"/>
                <w:sz w:val="24"/>
                <w:lang w:val="zh-CN"/>
              </w:rPr>
            </w:pPr>
            <w:r w:rsidRPr="003240AB">
              <w:rPr>
                <w:rFonts w:hint="eastAsia"/>
                <w:sz w:val="24"/>
                <w:lang w:val="zh-CN"/>
              </w:rPr>
              <w:t>对保护区外分散的约</w:t>
            </w:r>
            <w:r w:rsidRPr="003240AB">
              <w:rPr>
                <w:rFonts w:hint="eastAsia"/>
                <w:sz w:val="24"/>
                <w:lang w:val="zh-CN"/>
              </w:rPr>
              <w:t>5</w:t>
            </w:r>
            <w:r w:rsidRPr="003240AB">
              <w:rPr>
                <w:rFonts w:hint="eastAsia"/>
                <w:sz w:val="24"/>
                <w:lang w:val="zh-CN"/>
              </w:rPr>
              <w:t>万户平房和简易楼居民燃煤采暖，制定改用清洁能源方案，结合旧城改造、人口疏解、城市建设以及能源供应情况，采取电力、热力、燃气分户或并入锅炉房集中供热等多种方式，逐年实施清洁能源改造</w:t>
            </w:r>
            <w:r>
              <w:rPr>
                <w:rFonts w:hint="eastAsia"/>
                <w:sz w:val="24"/>
                <w:lang w:val="zh-CN"/>
              </w:rPr>
              <w:t>，</w:t>
            </w:r>
            <w:r>
              <w:rPr>
                <w:rFonts w:hint="eastAsia"/>
                <w:sz w:val="24"/>
                <w:lang w:val="zh-CN"/>
              </w:rPr>
              <w:t>2014</w:t>
            </w:r>
            <w:r>
              <w:rPr>
                <w:rFonts w:hint="eastAsia"/>
                <w:sz w:val="24"/>
                <w:lang w:val="zh-CN"/>
              </w:rPr>
              <w:t>年底前完成改造</w:t>
            </w:r>
            <w:r w:rsidRPr="003240AB">
              <w:rPr>
                <w:rFonts w:hint="eastAsia"/>
                <w:sz w:val="24"/>
                <w:lang w:val="zh-CN"/>
              </w:rPr>
              <w:t>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Pr="005C483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 w:rsidRPr="00350D67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2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Default="00FF4845" w:rsidP="00D76B97">
            <w:pPr>
              <w:spacing w:line="2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区财政局</w:t>
            </w:r>
          </w:p>
          <w:p w:rsidR="00FF4845" w:rsidRDefault="00FF4845" w:rsidP="00D76B97">
            <w:pPr>
              <w:spacing w:line="2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西城规划分局</w:t>
            </w:r>
          </w:p>
          <w:p w:rsidR="00FF4845" w:rsidRDefault="00FF4845" w:rsidP="00D76B97">
            <w:pPr>
              <w:spacing w:line="2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区房管局</w:t>
            </w:r>
          </w:p>
          <w:p w:rsidR="00FF4845" w:rsidRDefault="00FF4845" w:rsidP="00D76B97">
            <w:pPr>
              <w:spacing w:line="2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有关街道办事处</w:t>
            </w:r>
          </w:p>
          <w:p w:rsidR="00FF4845" w:rsidRPr="005B59EB" w:rsidRDefault="00FF4845" w:rsidP="00D76B97">
            <w:pPr>
              <w:spacing w:line="24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区房地中心</w:t>
            </w:r>
          </w:p>
        </w:tc>
      </w:tr>
      <w:tr w:rsidR="00FF4845" w:rsidTr="00D76B97">
        <w:trPr>
          <w:trHeight w:val="1684"/>
        </w:trPr>
        <w:tc>
          <w:tcPr>
            <w:tcW w:w="2016" w:type="dxa"/>
            <w:vMerge w:val="restart"/>
            <w:vAlign w:val="center"/>
          </w:tcPr>
          <w:p w:rsidR="00FF4845" w:rsidRPr="008E0F40" w:rsidRDefault="00FF4845" w:rsidP="00D76B97">
            <w:pPr>
              <w:spacing w:line="380" w:lineRule="exact"/>
              <w:ind w:firstLineChars="100" w:firstLine="240"/>
              <w:outlineLvl w:val="1"/>
              <w:rPr>
                <w:rFonts w:hint="eastAsia"/>
                <w:sz w:val="24"/>
                <w:lang w:val="zh-CN"/>
              </w:rPr>
            </w:pPr>
            <w:r w:rsidRPr="008E0F40">
              <w:rPr>
                <w:color w:val="000000"/>
                <w:sz w:val="24"/>
                <w:lang w:val="zh-CN"/>
              </w:rPr>
              <w:lastRenderedPageBreak/>
              <w:t>扬尘污染控制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8E0F40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8E0F40">
              <w:rPr>
                <w:rFonts w:hint="eastAsia"/>
                <w:sz w:val="24"/>
                <w:lang w:val="zh-CN"/>
              </w:rPr>
              <w:t>加强</w:t>
            </w:r>
            <w:r w:rsidRPr="008E0F40">
              <w:rPr>
                <w:sz w:val="24"/>
                <w:lang w:val="zh-CN"/>
              </w:rPr>
              <w:t>对重点施工工地在线监控系统</w:t>
            </w:r>
            <w:r w:rsidRPr="008E0F40">
              <w:rPr>
                <w:rFonts w:hint="eastAsia"/>
                <w:bCs/>
                <w:spacing w:val="-4"/>
                <w:sz w:val="24"/>
              </w:rPr>
              <w:t>建设。</w:t>
            </w:r>
            <w:r w:rsidRPr="008E0F40">
              <w:rPr>
                <w:rFonts w:ascii="仿宋_GB2312" w:hint="eastAsia"/>
                <w:sz w:val="24"/>
              </w:rPr>
              <w:t>强化行业监管责任，创新绿色施工监管机制，抓好重点环节和部位的精细化管理，将施工企业扬尘污染记录作为不良信息纳入建筑企业信用管理系统，定期公布。加强执法检查，突出重点季节、重要时期、关键时段监督管理，增加检查频次，加大处罚力度，遏制扬尘污染反弹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Pr="00350D67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 w:rsidRPr="00350D67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区城管监察大队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各街道办事处</w:t>
            </w:r>
          </w:p>
        </w:tc>
      </w:tr>
      <w:tr w:rsidR="00FF4845" w:rsidTr="00D76B97">
        <w:trPr>
          <w:trHeight w:val="1689"/>
        </w:trPr>
        <w:tc>
          <w:tcPr>
            <w:tcW w:w="2016" w:type="dxa"/>
            <w:vMerge/>
            <w:vAlign w:val="center"/>
          </w:tcPr>
          <w:p w:rsidR="00FF4845" w:rsidRPr="008E0F40" w:rsidRDefault="00FF4845" w:rsidP="00D76B97">
            <w:pPr>
              <w:spacing w:line="380" w:lineRule="exact"/>
              <w:ind w:firstLine="480"/>
              <w:jc w:val="left"/>
              <w:outlineLvl w:val="1"/>
              <w:rPr>
                <w:color w:val="000000"/>
                <w:sz w:val="24"/>
                <w:lang w:val="zh-CN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8E0F40" w:rsidRDefault="00FF4845" w:rsidP="00D76B97">
            <w:pPr>
              <w:spacing w:line="380" w:lineRule="exact"/>
              <w:ind w:firstLine="480"/>
              <w:rPr>
                <w:rFonts w:hint="eastAsia"/>
                <w:sz w:val="24"/>
                <w:lang w:val="zh-CN"/>
              </w:rPr>
            </w:pPr>
            <w:r w:rsidRPr="008E0F40">
              <w:rPr>
                <w:rFonts w:ascii="仿宋_GB2312" w:hint="eastAsia"/>
                <w:sz w:val="24"/>
              </w:rPr>
              <w:t>提高道路清扫保洁水平。</w:t>
            </w:r>
            <w:r w:rsidRPr="008E0F40">
              <w:rPr>
                <w:sz w:val="24"/>
                <w:lang w:val="zh-CN"/>
              </w:rPr>
              <w:t>严格执行城市道路清扫保洁质量标准，</w:t>
            </w:r>
            <w:r w:rsidRPr="008E0F40">
              <w:rPr>
                <w:rFonts w:ascii="仿宋_GB2312" w:hint="eastAsia"/>
                <w:sz w:val="24"/>
              </w:rPr>
              <w:t>扩大“吸、扫、冲、收”组合式道路保洁设备比重，</w:t>
            </w:r>
            <w:r w:rsidRPr="008E0F40">
              <w:rPr>
                <w:sz w:val="24"/>
                <w:lang w:val="zh-CN"/>
              </w:rPr>
              <w:t>提高道路机扫率和冲洗率，车行道机扫率达到</w:t>
            </w:r>
            <w:r w:rsidRPr="008E0F40">
              <w:rPr>
                <w:sz w:val="24"/>
                <w:lang w:val="zh-CN"/>
              </w:rPr>
              <w:t>100%</w:t>
            </w:r>
            <w:r w:rsidRPr="008E0F40">
              <w:rPr>
                <w:sz w:val="24"/>
                <w:lang w:val="zh-CN"/>
              </w:rPr>
              <w:t>；</w:t>
            </w:r>
            <w:r w:rsidRPr="008E0F40">
              <w:rPr>
                <w:rFonts w:ascii="仿宋_GB2312" w:hint="eastAsia"/>
                <w:sz w:val="24"/>
              </w:rPr>
              <w:t>增加城市道路冲洗保洁频次，每日对重点地区、主要道路进行冲洗作业，</w:t>
            </w:r>
            <w:r w:rsidRPr="008E0F40">
              <w:rPr>
                <w:sz w:val="24"/>
                <w:lang w:val="zh-CN"/>
              </w:rPr>
              <w:t>开展重点区域道路、街巷扬尘清除新技术示范工作，提高洁净率，降低尘负荷。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区环卫中心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区财政局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各街道办事处</w:t>
            </w:r>
          </w:p>
        </w:tc>
      </w:tr>
      <w:tr w:rsidR="00FF4845" w:rsidTr="00D76B97">
        <w:trPr>
          <w:trHeight w:val="1355"/>
        </w:trPr>
        <w:tc>
          <w:tcPr>
            <w:tcW w:w="2016" w:type="dxa"/>
            <w:vMerge/>
            <w:vAlign w:val="center"/>
          </w:tcPr>
          <w:p w:rsidR="00FF4845" w:rsidRPr="008E0F40" w:rsidRDefault="00FF4845" w:rsidP="00D76B97">
            <w:pPr>
              <w:spacing w:line="380" w:lineRule="exact"/>
              <w:ind w:firstLine="480"/>
              <w:jc w:val="left"/>
              <w:outlineLvl w:val="1"/>
              <w:rPr>
                <w:color w:val="000000"/>
                <w:sz w:val="24"/>
                <w:lang w:val="zh-CN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3240A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8E0F40">
              <w:rPr>
                <w:rFonts w:ascii="仿宋_GB2312" w:hint="eastAsia"/>
                <w:sz w:val="24"/>
              </w:rPr>
              <w:t>创建扬尘污染控制区。以控制施工扬尘和渣土遗撒、开展裸露地面治理、加强道路清扫保洁为重点，组织开展扬尘污染控制区创建活动，</w:t>
            </w:r>
            <w:r w:rsidRPr="003240AB">
              <w:rPr>
                <w:rFonts w:ascii="仿宋_GB2312" w:hint="eastAsia"/>
                <w:sz w:val="24"/>
              </w:rPr>
              <w:t>率先完成展览路、白纸坊两个街道控制扬尘示范区建设。到2015年底，全区扬尘污染控制区实现全覆盖。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区城管监察大队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区环卫中心</w:t>
            </w:r>
          </w:p>
          <w:p w:rsidR="00FF4845" w:rsidRPr="005C4835" w:rsidRDefault="00FF4845" w:rsidP="00D76B97">
            <w:pPr>
              <w:spacing w:line="38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5C4835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相关街道办事处</w:t>
            </w:r>
          </w:p>
        </w:tc>
      </w:tr>
      <w:tr w:rsidR="00FF4845" w:rsidTr="00D76B97">
        <w:trPr>
          <w:trHeight w:val="2634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严格控制机</w:t>
            </w:r>
          </w:p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动车污染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7242" w:type="dxa"/>
            <w:gridSpan w:val="2"/>
            <w:tcBorders>
              <w:bottom w:val="single" w:sz="4" w:space="0" w:color="auto"/>
            </w:tcBorders>
            <w:vAlign w:val="center"/>
          </w:tcPr>
          <w:p w:rsidR="00FF4845" w:rsidRPr="00762672" w:rsidRDefault="00FF4845" w:rsidP="00D76B97">
            <w:pPr>
              <w:spacing w:line="380" w:lineRule="exact"/>
              <w:ind w:firstLine="480"/>
              <w:rPr>
                <w:rFonts w:hint="eastAsia"/>
                <w:color w:val="000000"/>
                <w:sz w:val="24"/>
              </w:rPr>
            </w:pPr>
            <w:r w:rsidRPr="00762672">
              <w:rPr>
                <w:color w:val="000000"/>
                <w:sz w:val="24"/>
                <w:lang w:val="zh-CN"/>
              </w:rPr>
              <w:t>加强机动车和</w:t>
            </w:r>
            <w:r w:rsidRPr="00762672">
              <w:rPr>
                <w:color w:val="000000"/>
                <w:sz w:val="24"/>
              </w:rPr>
              <w:t>非道路用动力机械</w:t>
            </w:r>
            <w:r w:rsidRPr="00762672">
              <w:rPr>
                <w:color w:val="000000"/>
                <w:sz w:val="24"/>
                <w:lang w:val="zh-CN"/>
              </w:rPr>
              <w:t>的信息化管理，</w:t>
            </w:r>
            <w:r w:rsidRPr="00762672">
              <w:rPr>
                <w:color w:val="000000"/>
                <w:sz w:val="24"/>
              </w:rPr>
              <w:t>建立重点单位和高频次使用的公交、环卫、邮政等车辆信息台帐。</w:t>
            </w:r>
            <w:r w:rsidRPr="00762672">
              <w:rPr>
                <w:rFonts w:hint="eastAsia"/>
                <w:color w:val="000000"/>
                <w:sz w:val="24"/>
              </w:rPr>
              <w:t>严格在用车排放监管，</w:t>
            </w:r>
            <w:r w:rsidRPr="00762672">
              <w:rPr>
                <w:color w:val="000000"/>
                <w:sz w:val="24"/>
                <w:lang w:val="zh-CN"/>
              </w:rPr>
              <w:t>继续采用路检、夜查、巡查、入户、遥感监测等方式，严查尾气超标排放，</w:t>
            </w:r>
            <w:r w:rsidRPr="00762672">
              <w:rPr>
                <w:color w:val="000000"/>
                <w:sz w:val="24"/>
              </w:rPr>
              <w:t>年均检测达到</w:t>
            </w:r>
            <w:r w:rsidRPr="00762672">
              <w:rPr>
                <w:color w:val="000000"/>
                <w:sz w:val="24"/>
                <w:lang w:val="zh-CN"/>
              </w:rPr>
              <w:t>20</w:t>
            </w:r>
            <w:r w:rsidRPr="00762672">
              <w:rPr>
                <w:color w:val="000000"/>
                <w:sz w:val="24"/>
              </w:rPr>
              <w:t>万辆。</w:t>
            </w:r>
            <w:r w:rsidRPr="00762672">
              <w:rPr>
                <w:rFonts w:hint="eastAsia"/>
                <w:color w:val="000000"/>
                <w:sz w:val="24"/>
              </w:rPr>
              <w:t>加强非道路柴油动力机械管理，</w:t>
            </w:r>
            <w:r w:rsidRPr="00762672">
              <w:rPr>
                <w:color w:val="000000"/>
                <w:sz w:val="24"/>
                <w:lang w:val="zh-CN"/>
              </w:rPr>
              <w:t>按照非道路用动力机械排放标准要求，加大对非道路用动力机械检查力度；</w:t>
            </w:r>
            <w:r w:rsidRPr="00762672">
              <w:rPr>
                <w:rFonts w:hint="eastAsia"/>
                <w:color w:val="000000"/>
                <w:sz w:val="24"/>
                <w:lang w:val="zh-CN"/>
              </w:rPr>
              <w:t>继续淘汰老旧机动车，</w:t>
            </w:r>
            <w:r w:rsidRPr="00762672">
              <w:rPr>
                <w:color w:val="000000"/>
                <w:sz w:val="24"/>
                <w:lang w:val="zh-CN"/>
              </w:rPr>
              <w:t>强化对高污染排放车辆的监管，落实有关经济鼓励政策，积极促进老旧机动车更新淘汰。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西城交通支队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区财政局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区质监局</w:t>
            </w:r>
          </w:p>
        </w:tc>
      </w:tr>
      <w:tr w:rsidR="00FF4845" w:rsidTr="00D76B97">
        <w:trPr>
          <w:trHeight w:val="1550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加强油烟</w:t>
            </w:r>
          </w:p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污染治理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06749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  <w:lang w:val="zh-CN"/>
              </w:rPr>
            </w:pPr>
            <w:r w:rsidRPr="0006749B">
              <w:rPr>
                <w:rFonts w:ascii="仿宋_GB2312" w:hint="eastAsia"/>
                <w:sz w:val="24"/>
                <w:lang w:val="zh-CN"/>
              </w:rPr>
              <w:t>加强餐饮油烟治理，开展餐饮行业专项治理和检查，所有饮食服务经营场所均应安装油烟净化设施，建立有效运行机制，确保达标排放，</w:t>
            </w:r>
            <w:r w:rsidRPr="0006749B">
              <w:rPr>
                <w:rFonts w:ascii="仿宋_GB2312" w:hint="eastAsia"/>
                <w:sz w:val="24"/>
              </w:rPr>
              <w:t>开展“光解油烟净化技术”处理试点，在有条件的单位逐步推广。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区商务委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西城工商分局</w:t>
            </w:r>
          </w:p>
          <w:p w:rsidR="00FF4845" w:rsidRPr="00952F36" w:rsidRDefault="00FF4845" w:rsidP="00D76B97">
            <w:pPr>
              <w:spacing w:line="380" w:lineRule="exact"/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952F36">
              <w:rPr>
                <w:rFonts w:ascii="仿宋_GB2312" w:hint="eastAsia"/>
                <w:spacing w:val="-20"/>
                <w:sz w:val="24"/>
              </w:rPr>
              <w:t>西城公安消防支队</w:t>
            </w:r>
          </w:p>
        </w:tc>
      </w:tr>
      <w:tr w:rsidR="00FF4845" w:rsidTr="00D76B97">
        <w:trPr>
          <w:trHeight w:val="1385"/>
        </w:trPr>
        <w:tc>
          <w:tcPr>
            <w:tcW w:w="2016" w:type="dxa"/>
            <w:vMerge w:val="restart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加强污染源</w:t>
            </w:r>
          </w:p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日常监管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06749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  <w:lang w:val="zh-CN"/>
              </w:rPr>
            </w:pPr>
            <w:r w:rsidRPr="0006749B">
              <w:rPr>
                <w:rFonts w:ascii="仿宋_GB2312" w:hint="eastAsia"/>
                <w:sz w:val="24"/>
                <w:lang w:val="zh-CN"/>
              </w:rPr>
              <w:t>加强对加油站、印刷、汽修、服装干洗等重点行业和实验室的监督检查，对挥发性有机物超标排放的单位进行限期治理，</w:t>
            </w:r>
            <w:r w:rsidRPr="0006749B">
              <w:rPr>
                <w:rFonts w:ascii="仿宋_GB2312" w:hint="eastAsia"/>
                <w:sz w:val="24"/>
              </w:rPr>
              <w:t>加油站油气回收系统监测达到全面覆盖，确保油气回收系统正常运行</w:t>
            </w:r>
            <w:r w:rsidRPr="0006749B">
              <w:rPr>
                <w:rFonts w:ascii="仿宋_GB2312" w:hint="eastAsia"/>
                <w:sz w:val="24"/>
                <w:lang w:val="zh-CN"/>
              </w:rPr>
              <w:t>；</w:t>
            </w:r>
            <w:r w:rsidRPr="0006749B">
              <w:rPr>
                <w:rFonts w:ascii="仿宋_GB2312" w:hint="eastAsia"/>
                <w:sz w:val="24"/>
              </w:rPr>
              <w:t>鼓励倡导单位和公众使用低挥发性有机物含量的溶剂、油漆、涂料等产品。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 w:rsidRPr="00952F36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Pr="00952F36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区</w:t>
            </w:r>
            <w:r>
              <w:rPr>
                <w:rFonts w:ascii="仿宋_GB2312" w:hint="eastAsia"/>
                <w:sz w:val="24"/>
              </w:rPr>
              <w:t>市政市容委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区安监局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西城工商分局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区质监局</w:t>
            </w:r>
          </w:p>
        </w:tc>
      </w:tr>
      <w:tr w:rsidR="00FF4845" w:rsidTr="00D76B97">
        <w:trPr>
          <w:trHeight w:val="872"/>
        </w:trPr>
        <w:tc>
          <w:tcPr>
            <w:tcW w:w="2016" w:type="dxa"/>
            <w:vMerge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06749B">
              <w:rPr>
                <w:rFonts w:ascii="仿宋_GB2312" w:hint="eastAsia"/>
                <w:sz w:val="24"/>
                <w:lang w:val="zh-CN"/>
              </w:rPr>
              <w:t>加强监督检查，坚决取缔经营性小煤炉、露天烧烤等各类污染直排的环境违法行为，治理低空污染。</w:t>
            </w:r>
          </w:p>
        </w:tc>
        <w:tc>
          <w:tcPr>
            <w:tcW w:w="2109" w:type="dxa"/>
            <w:gridSpan w:val="3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区城管监察大队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西城工商分局</w:t>
            </w:r>
          </w:p>
        </w:tc>
      </w:tr>
      <w:tr w:rsidR="00FF4845" w:rsidTr="00D76B97">
        <w:trPr>
          <w:trHeight w:val="1540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开展</w:t>
            </w:r>
            <w:r w:rsidRPr="0019631E">
              <w:rPr>
                <w:rFonts w:ascii="仿宋_GB2312" w:hint="eastAsia"/>
                <w:sz w:val="24"/>
              </w:rPr>
              <w:t>低碳</w:t>
            </w:r>
          </w:p>
          <w:p w:rsidR="00FF4845" w:rsidRPr="00682F71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19631E">
              <w:rPr>
                <w:rFonts w:ascii="仿宋_GB2312" w:hint="eastAsia"/>
                <w:sz w:val="24"/>
              </w:rPr>
              <w:t>社区建设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762672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  <w:lang w:val="zh-CN"/>
              </w:rPr>
            </w:pPr>
            <w:r w:rsidRPr="00762672">
              <w:rPr>
                <w:rFonts w:ascii="仿宋_GB2312" w:hint="eastAsia"/>
                <w:sz w:val="24"/>
                <w:lang w:val="zh-CN"/>
              </w:rPr>
              <w:t>以社区为切入点，开展“低碳生态社区”示范工作，推动“低碳社区”建设。通过调查和宣传教育，引导、鼓励居民采用绿色生活方式。在做好试点的基础上，扩大示范效应，在全区有条件的社区，逐步开展低碳社区建设。</w:t>
            </w:r>
          </w:p>
        </w:tc>
        <w:tc>
          <w:tcPr>
            <w:tcW w:w="2109" w:type="dxa"/>
            <w:gridSpan w:val="3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区科委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相关街道办事处</w:t>
            </w:r>
          </w:p>
        </w:tc>
      </w:tr>
      <w:tr w:rsidR="00FF4845" w:rsidTr="00D76B97">
        <w:trPr>
          <w:trHeight w:val="2781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682F71">
              <w:rPr>
                <w:rFonts w:ascii="仿宋_GB2312" w:hint="eastAsia"/>
                <w:sz w:val="24"/>
              </w:rPr>
              <w:t>开展生态</w:t>
            </w:r>
          </w:p>
          <w:p w:rsidR="00FF4845" w:rsidRPr="0019631E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682F71">
              <w:rPr>
                <w:rFonts w:ascii="仿宋_GB2312" w:hint="eastAsia"/>
                <w:sz w:val="24"/>
              </w:rPr>
              <w:t>环境建设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706BBC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19631E">
              <w:rPr>
                <w:rFonts w:ascii="仿宋_GB2312" w:hint="eastAsia"/>
                <w:sz w:val="24"/>
              </w:rPr>
              <w:t>以建设“系统完善，布局合理，功能健全，生态和谐，富于文化特色”的园林绿地系统为目标，完善绿地布局、增加绿地面积、开展绿地改造，拓展屋顶绿化、垂直绿化建设。每年新增屋顶绿化面积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20000"/>
                <w:attr w:name="UnitName" w:val="平方米"/>
              </w:smartTagPr>
              <w:r w:rsidRPr="0019631E">
                <w:rPr>
                  <w:rFonts w:ascii="仿宋_GB2312" w:hint="eastAsia"/>
                  <w:sz w:val="24"/>
                </w:rPr>
                <w:t>2万平方米</w:t>
              </w:r>
            </w:smartTag>
            <w:r w:rsidRPr="0019631E">
              <w:rPr>
                <w:rFonts w:ascii="仿宋_GB2312" w:hint="eastAsia"/>
                <w:sz w:val="24"/>
              </w:rPr>
              <w:t>、垂直绿化1000延长米，实现公共绿地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米"/>
              </w:smartTagPr>
              <w:r w:rsidRPr="0019631E">
                <w:rPr>
                  <w:rFonts w:ascii="仿宋_GB2312" w:hint="eastAsia"/>
                  <w:sz w:val="24"/>
                </w:rPr>
                <w:t>500米</w:t>
              </w:r>
            </w:smartTag>
            <w:r w:rsidRPr="0019631E">
              <w:rPr>
                <w:rFonts w:ascii="仿宋_GB2312" w:hint="eastAsia"/>
                <w:sz w:val="24"/>
              </w:rPr>
              <w:t>半径居住区覆盖率达到80%；</w:t>
            </w:r>
            <w:r w:rsidRPr="00706BBC">
              <w:rPr>
                <w:rFonts w:ascii="仿宋_GB2312" w:hint="eastAsia"/>
                <w:sz w:val="24"/>
              </w:rPr>
              <w:t>依法监督居住区绿化建设，提高居住区绿地率达标率。到“十二五”末，绿化覆盖率达到29.1%（含水域面积）、人均公共绿地达到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43"/>
                <w:attr w:name="UnitName" w:val="平方米"/>
              </w:smartTagPr>
              <w:r w:rsidRPr="00706BBC">
                <w:rPr>
                  <w:rFonts w:ascii="仿宋_GB2312" w:hint="eastAsia"/>
                  <w:sz w:val="24"/>
                </w:rPr>
                <w:t>3.43平方米</w:t>
              </w:r>
            </w:smartTag>
            <w:r w:rsidRPr="00706BBC">
              <w:rPr>
                <w:rFonts w:ascii="仿宋_GB2312" w:hint="eastAsia"/>
                <w:sz w:val="24"/>
              </w:rPr>
              <w:t>、绿地率达到20.89%、人均绿地达到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93"/>
                <w:attr w:name="UnitName" w:val="平方米"/>
              </w:smartTagPr>
              <w:r w:rsidRPr="00706BBC">
                <w:rPr>
                  <w:rFonts w:ascii="仿宋_GB2312" w:hint="eastAsia"/>
                  <w:sz w:val="24"/>
                </w:rPr>
                <w:t>7.93平方米</w:t>
              </w:r>
            </w:smartTag>
            <w:r w:rsidRPr="00706BBC">
              <w:rPr>
                <w:rFonts w:ascii="仿宋_GB2312" w:hint="eastAsia"/>
                <w:sz w:val="24"/>
              </w:rPr>
              <w:t>。</w:t>
            </w:r>
          </w:p>
        </w:tc>
        <w:tc>
          <w:tcPr>
            <w:tcW w:w="2109" w:type="dxa"/>
            <w:gridSpan w:val="3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区园林绿化局</w:t>
            </w:r>
          </w:p>
        </w:tc>
        <w:tc>
          <w:tcPr>
            <w:tcW w:w="1905" w:type="dxa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相关街道办事处</w:t>
            </w:r>
          </w:p>
        </w:tc>
      </w:tr>
      <w:tr w:rsidR="00FF4845" w:rsidTr="00D76B97">
        <w:trPr>
          <w:trHeight w:val="591"/>
        </w:trPr>
        <w:tc>
          <w:tcPr>
            <w:tcW w:w="14060" w:type="dxa"/>
            <w:gridSpan w:val="9"/>
            <w:vAlign w:val="center"/>
          </w:tcPr>
          <w:p w:rsidR="00FF4845" w:rsidRPr="00465098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b/>
                <w:sz w:val="24"/>
              </w:rPr>
            </w:pPr>
            <w:r w:rsidRPr="00465098">
              <w:rPr>
                <w:rFonts w:ascii="仿宋_GB2312" w:hint="eastAsia"/>
                <w:b/>
                <w:sz w:val="24"/>
              </w:rPr>
              <w:t>三、完善管理机制，提升保障能力</w:t>
            </w:r>
          </w:p>
        </w:tc>
      </w:tr>
      <w:tr w:rsidR="00FF4845" w:rsidTr="00D76B97">
        <w:trPr>
          <w:trHeight w:val="924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465098">
              <w:rPr>
                <w:rFonts w:ascii="仿宋_GB2312" w:hint="eastAsia"/>
                <w:sz w:val="24"/>
              </w:rPr>
              <w:t>落实环境</w:t>
            </w:r>
          </w:p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465098">
              <w:rPr>
                <w:rFonts w:ascii="仿宋_GB2312" w:hint="eastAsia"/>
                <w:sz w:val="24"/>
              </w:rPr>
              <w:t>保护责任</w:t>
            </w: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465098">
              <w:rPr>
                <w:rFonts w:ascii="仿宋_GB2312" w:hint="eastAsia"/>
                <w:sz w:val="24"/>
              </w:rPr>
              <w:t>建立监督考核工作机制，督促本计划落实，并将落实情况纳入领导干部绩效考核。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区政府办</w:t>
            </w:r>
          </w:p>
        </w:tc>
        <w:tc>
          <w:tcPr>
            <w:tcW w:w="1979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区人力社保局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区监察局</w:t>
            </w:r>
          </w:p>
        </w:tc>
      </w:tr>
      <w:tr w:rsidR="00FF4845" w:rsidTr="00D76B97">
        <w:trPr>
          <w:trHeight w:val="1088"/>
        </w:trPr>
        <w:tc>
          <w:tcPr>
            <w:tcW w:w="2016" w:type="dxa"/>
            <w:vMerge w:val="restart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6747F6">
              <w:rPr>
                <w:rFonts w:ascii="仿宋_GB2312" w:hint="eastAsia"/>
                <w:sz w:val="24"/>
              </w:rPr>
              <w:t>完善环境</w:t>
            </w:r>
          </w:p>
          <w:p w:rsidR="00FF4845" w:rsidRPr="006747F6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6747F6">
              <w:rPr>
                <w:rFonts w:ascii="仿宋_GB2312" w:hint="eastAsia"/>
                <w:sz w:val="24"/>
              </w:rPr>
              <w:t>经济政策</w:t>
            </w:r>
          </w:p>
        </w:tc>
        <w:tc>
          <w:tcPr>
            <w:tcW w:w="788" w:type="dxa"/>
            <w:gridSpan w:val="2"/>
            <w:vAlign w:val="center"/>
          </w:tcPr>
          <w:p w:rsidR="00FF4845" w:rsidRPr="006747F6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19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6747F6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6747F6">
              <w:rPr>
                <w:rFonts w:ascii="仿宋_GB2312" w:hint="eastAsia"/>
                <w:sz w:val="24"/>
              </w:rPr>
              <w:t>积极争取北京市资金支持，强化区属资金投入，强化环境保护专项资金使用管理，着力推进重点治污项目和区域空气质量监测、监控能力建设。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79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区财政局</w:t>
            </w:r>
          </w:p>
        </w:tc>
      </w:tr>
      <w:tr w:rsidR="00FF4845" w:rsidTr="00D76B97">
        <w:trPr>
          <w:trHeight w:val="1243"/>
        </w:trPr>
        <w:tc>
          <w:tcPr>
            <w:tcW w:w="2016" w:type="dxa"/>
            <w:vMerge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6747F6">
              <w:rPr>
                <w:rFonts w:ascii="仿宋_GB2312" w:hint="eastAsia"/>
                <w:sz w:val="24"/>
              </w:rPr>
              <w:t>建立政府绿色采购制度。涉及使用涂料、油漆和有机溶剂的市政工程、政府投资的房屋建设和维修工程等，优先采用低挥发性有机物含量产品。政府主导的建设工程可优先选用“绿色施工”企业。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区财政局</w:t>
            </w:r>
          </w:p>
        </w:tc>
        <w:tc>
          <w:tcPr>
            <w:tcW w:w="1979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区发展改革委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区市政市容委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pacing w:val="-20"/>
                <w:sz w:val="24"/>
              </w:rPr>
            </w:pPr>
            <w:r w:rsidRPr="00952F36">
              <w:rPr>
                <w:rFonts w:ascii="仿宋_GB2312" w:hint="eastAsia"/>
                <w:spacing w:val="-20"/>
                <w:sz w:val="24"/>
              </w:rPr>
              <w:t>区住房和城市建设委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各相关单位</w:t>
            </w:r>
          </w:p>
        </w:tc>
      </w:tr>
      <w:tr w:rsidR="00FF4845" w:rsidTr="00D76B97">
        <w:tc>
          <w:tcPr>
            <w:tcW w:w="2016" w:type="dxa"/>
            <w:vMerge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21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6747F6">
              <w:rPr>
                <w:rFonts w:ascii="仿宋_GB2312" w:hint="eastAsia"/>
                <w:sz w:val="24"/>
              </w:rPr>
              <w:t>加强排污费征收。落实扬尘污染源排污费征收办法和更</w:t>
            </w:r>
            <w:r>
              <w:rPr>
                <w:rFonts w:ascii="仿宋_GB2312" w:hint="eastAsia"/>
                <w:sz w:val="24"/>
              </w:rPr>
              <w:t>严格</w:t>
            </w:r>
            <w:r w:rsidRPr="006747F6">
              <w:rPr>
                <w:rFonts w:ascii="仿宋_GB2312" w:hint="eastAsia"/>
                <w:sz w:val="24"/>
              </w:rPr>
              <w:t>的二氧化硫、氮氧化物等污染物排放收费标准，提高排污成本，促进污染治理。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79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FF4845" w:rsidTr="00D76B97">
        <w:trPr>
          <w:trHeight w:val="2005"/>
        </w:trPr>
        <w:tc>
          <w:tcPr>
            <w:tcW w:w="2016" w:type="dxa"/>
            <w:vAlign w:val="center"/>
          </w:tcPr>
          <w:p w:rsidR="00FF4845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A37009">
              <w:rPr>
                <w:rFonts w:ascii="仿宋_GB2312" w:hint="eastAsia"/>
                <w:sz w:val="24"/>
              </w:rPr>
              <w:t>提升环境</w:t>
            </w:r>
          </w:p>
          <w:p w:rsidR="00FF4845" w:rsidRPr="00A37009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A37009">
              <w:rPr>
                <w:rFonts w:ascii="仿宋_GB2312" w:hint="eastAsia"/>
                <w:sz w:val="24"/>
              </w:rPr>
              <w:t>监管能力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22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9C7B53" w:rsidRDefault="00FF4845" w:rsidP="00D76B97">
            <w:pPr>
              <w:spacing w:line="380" w:lineRule="exact"/>
              <w:ind w:firstLine="482"/>
              <w:rPr>
                <w:rFonts w:ascii="仿宋_GB2312" w:hint="eastAsia"/>
                <w:sz w:val="24"/>
              </w:rPr>
            </w:pPr>
            <w:r w:rsidRPr="00A37009">
              <w:rPr>
                <w:rFonts w:ascii="仿宋_GB2312" w:hint="eastAsia"/>
                <w:sz w:val="24"/>
              </w:rPr>
              <w:t>根据市环保局统一要求，进一步完善空气质量监测网络，提高对细颗粒物、臭氧、挥发性有机物等污染物监测能力。配合市环保局实施国家第五阶段机动车排放标准，加强对机动车排放监管。完善环境监管机制，进一步明确职责，开展联防联控，</w:t>
            </w:r>
            <w:r w:rsidRPr="009C7B53">
              <w:rPr>
                <w:rFonts w:ascii="仿宋_GB2312" w:hint="eastAsia"/>
                <w:sz w:val="24"/>
              </w:rPr>
              <w:t>积极推动环保、城管、建委、规划、公安、环卫、园林、市政、街道等各部门的合作，进行联合执法。加强区域大气监测网络建设，提高监测水平。</w:t>
            </w:r>
          </w:p>
        </w:tc>
        <w:tc>
          <w:tcPr>
            <w:tcW w:w="2035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</w:tc>
        <w:tc>
          <w:tcPr>
            <w:tcW w:w="1979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各相关单位</w:t>
            </w:r>
          </w:p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各街道办事处</w:t>
            </w:r>
          </w:p>
        </w:tc>
      </w:tr>
      <w:tr w:rsidR="00FF4845" w:rsidTr="00D76B97">
        <w:tc>
          <w:tcPr>
            <w:tcW w:w="2016" w:type="dxa"/>
            <w:vAlign w:val="center"/>
          </w:tcPr>
          <w:p w:rsidR="00FF4845" w:rsidRPr="00A37009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 w:rsidRPr="00A37009">
              <w:rPr>
                <w:rFonts w:ascii="仿宋_GB2312" w:hint="eastAsia"/>
                <w:sz w:val="24"/>
              </w:rPr>
              <w:t>推动公众参与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23</w:t>
            </w:r>
          </w:p>
        </w:tc>
        <w:tc>
          <w:tcPr>
            <w:tcW w:w="7242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ind w:firstLine="480"/>
              <w:rPr>
                <w:rFonts w:ascii="仿宋_GB2312" w:hint="eastAsia"/>
                <w:sz w:val="24"/>
              </w:rPr>
            </w:pPr>
            <w:r w:rsidRPr="00A37009">
              <w:rPr>
                <w:rFonts w:ascii="仿宋_GB2312" w:hint="eastAsia"/>
                <w:sz w:val="24"/>
              </w:rPr>
              <w:t>要充分利用报刊、电视、广播、网络等媒体，加强对落实清洁空气行动计划的宣传引导，弘扬先进典型，曝光施工扬尘、渣土遗撒和露天烧烤等环境违法行为。鼓励市民积极参与“低碳生活”、“绿色出行”和“少开一天车”等活动，为“绿色北京”建设贡献力量。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2035" w:type="dxa"/>
            <w:gridSpan w:val="2"/>
            <w:vAlign w:val="center"/>
          </w:tcPr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区新闻中心</w:t>
            </w:r>
          </w:p>
          <w:p w:rsidR="00FF4845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区环保局</w:t>
            </w:r>
          </w:p>
          <w:p w:rsidR="00FF4845" w:rsidRPr="005B59EB" w:rsidRDefault="00FF4845" w:rsidP="00D76B97">
            <w:pPr>
              <w:spacing w:line="380" w:lineRule="exact"/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FF4845" w:rsidRPr="005B59EB" w:rsidRDefault="00FF4845" w:rsidP="00D76B97">
            <w:pPr>
              <w:spacing w:line="3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各相关单位</w:t>
            </w:r>
          </w:p>
        </w:tc>
      </w:tr>
    </w:tbl>
    <w:p w:rsidR="008468F4" w:rsidRDefault="008468F4"/>
    <w:sectPr w:rsidR="008468F4" w:rsidSect="00FF484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27" w:rsidRDefault="00666D27" w:rsidP="00FF4845">
      <w:r>
        <w:separator/>
      </w:r>
    </w:p>
  </w:endnote>
  <w:endnote w:type="continuationSeparator" w:id="0">
    <w:p w:rsidR="00666D27" w:rsidRDefault="00666D27" w:rsidP="00FF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27" w:rsidRDefault="00666D27" w:rsidP="00FF4845">
      <w:r>
        <w:separator/>
      </w:r>
    </w:p>
  </w:footnote>
  <w:footnote w:type="continuationSeparator" w:id="0">
    <w:p w:rsidR="00666D27" w:rsidRDefault="00666D27" w:rsidP="00FF4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845"/>
    <w:rsid w:val="00666D27"/>
    <w:rsid w:val="008468F4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4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845"/>
    <w:rPr>
      <w:sz w:val="18"/>
      <w:szCs w:val="18"/>
    </w:rPr>
  </w:style>
  <w:style w:type="table" w:styleId="a5">
    <w:name w:val="Table Grid"/>
    <w:basedOn w:val="a1"/>
    <w:rsid w:val="00FF48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2016-12-31T05:51:00Z</dcterms:created>
  <dcterms:modified xsi:type="dcterms:W3CDTF">2016-12-31T05:52:00Z</dcterms:modified>
</cp:coreProperties>
</file>