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32"/>
          <w:szCs w:val="32"/>
        </w:rPr>
      </w:pPr>
      <w:r>
        <w:rPr>
          <w:rFonts w:hint="eastAsia" w:ascii="宋体" w:hAnsi="宋体" w:cs="宋体"/>
          <w:sz w:val="32"/>
          <w:szCs w:val="32"/>
        </w:rPr>
        <w:t>《粮油仓储管理办法》</w:t>
      </w:r>
    </w:p>
    <w:tbl>
      <w:tblPr>
        <w:tblStyle w:val="5"/>
        <w:tblW w:w="5330" w:type="pct"/>
        <w:tblInd w:w="-4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9"/>
        <w:gridCol w:w="1431"/>
        <w:gridCol w:w="1902"/>
        <w:gridCol w:w="1331"/>
        <w:gridCol w:w="1343"/>
        <w:gridCol w:w="2720"/>
        <w:gridCol w:w="2574"/>
        <w:gridCol w:w="1031"/>
        <w:gridCol w:w="3"/>
        <w:gridCol w:w="1029"/>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Header/>
        </w:trPr>
        <w:tc>
          <w:tcPr>
            <w:tcW w:w="15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序</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号</w:t>
            </w:r>
          </w:p>
        </w:tc>
        <w:tc>
          <w:tcPr>
            <w:tcW w:w="47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裁量权</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基准编码</w:t>
            </w:r>
          </w:p>
        </w:tc>
        <w:tc>
          <w:tcPr>
            <w:tcW w:w="629"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违法行为名称</w:t>
            </w:r>
          </w:p>
        </w:tc>
        <w:tc>
          <w:tcPr>
            <w:tcW w:w="884"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法律依据</w:t>
            </w:r>
          </w:p>
        </w:tc>
        <w:tc>
          <w:tcPr>
            <w:tcW w:w="900"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具体违法情节</w:t>
            </w:r>
          </w:p>
        </w:tc>
        <w:tc>
          <w:tcPr>
            <w:tcW w:w="851"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处罚裁量权基准</w:t>
            </w:r>
          </w:p>
        </w:tc>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违法</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行为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分类</w:t>
            </w:r>
          </w:p>
        </w:tc>
        <w:tc>
          <w:tcPr>
            <w:tcW w:w="341"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处罚</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公示</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期限</w:t>
            </w:r>
          </w:p>
        </w:tc>
        <w:tc>
          <w:tcPr>
            <w:tcW w:w="425"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可以申请缩短</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公示期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blHeader/>
        </w:trPr>
        <w:tc>
          <w:tcPr>
            <w:tcW w:w="151" w:type="pct"/>
            <w:vMerge w:val="continue"/>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18"/>
                <w:szCs w:val="18"/>
                <w:u w:val="none"/>
              </w:rPr>
            </w:pPr>
          </w:p>
        </w:tc>
        <w:tc>
          <w:tcPr>
            <w:tcW w:w="473"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18"/>
                <w:szCs w:val="18"/>
                <w:u w:val="none"/>
              </w:rPr>
            </w:pPr>
          </w:p>
        </w:tc>
        <w:tc>
          <w:tcPr>
            <w:tcW w:w="629"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CESI仿宋-GB2312" w:hAnsi="CESI仿宋-GB2312" w:eastAsia="CESI仿宋-GB2312" w:cs="CESI仿宋-GB2312"/>
                <w:b/>
                <w:i w:val="0"/>
                <w:color w:val="000000"/>
                <w:sz w:val="18"/>
                <w:szCs w:val="18"/>
                <w:u w:val="none"/>
              </w:rPr>
            </w:pPr>
          </w:p>
        </w:tc>
        <w:tc>
          <w:tcPr>
            <w:tcW w:w="44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违法行为</w:t>
            </w:r>
            <w:r>
              <w:rPr>
                <w:rFonts w:hint="eastAsia" w:ascii="CESI仿宋-GB2312" w:hAnsi="CESI仿宋-GB2312" w:eastAsia="CESI仿宋-GB2312" w:cs="CESI仿宋-GB2312"/>
                <w:b/>
                <w:i w:val="0"/>
                <w:color w:val="000000"/>
                <w:kern w:val="0"/>
                <w:sz w:val="24"/>
                <w:szCs w:val="24"/>
                <w:u w:val="none"/>
                <w:lang w:val="en-US" w:eastAsia="zh-CN" w:bidi="ar"/>
              </w:rPr>
              <w:br w:type="textWrapping"/>
            </w:r>
            <w:r>
              <w:rPr>
                <w:rFonts w:hint="eastAsia" w:ascii="CESI仿宋-GB2312" w:hAnsi="CESI仿宋-GB2312" w:eastAsia="CESI仿宋-GB2312" w:cs="CESI仿宋-GB2312"/>
                <w:b/>
                <w:i w:val="0"/>
                <w:color w:val="000000"/>
                <w:kern w:val="0"/>
                <w:sz w:val="24"/>
                <w:szCs w:val="24"/>
                <w:u w:val="none"/>
                <w:lang w:val="en-US" w:eastAsia="zh-CN" w:bidi="ar"/>
              </w:rPr>
              <w:t>依据</w:t>
            </w:r>
          </w:p>
        </w:tc>
        <w:tc>
          <w:tcPr>
            <w:tcW w:w="444" w:type="pct"/>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CESI仿宋-GB2312" w:hAnsi="CESI仿宋-GB2312" w:eastAsia="CESI仿宋-GB2312" w:cs="CESI仿宋-GB2312"/>
                <w:b/>
                <w:i w:val="0"/>
                <w:color w:val="000000"/>
                <w:kern w:val="0"/>
                <w:sz w:val="24"/>
                <w:szCs w:val="24"/>
                <w:u w:val="none"/>
                <w:lang w:val="en-US" w:eastAsia="zh-CN" w:bidi="ar"/>
              </w:rPr>
            </w:pPr>
            <w:r>
              <w:rPr>
                <w:rFonts w:hint="eastAsia" w:ascii="CESI仿宋-GB2312" w:hAnsi="CESI仿宋-GB2312" w:eastAsia="CESI仿宋-GB2312" w:cs="CESI仿宋-GB2312"/>
                <w:b/>
                <w:i w:val="0"/>
                <w:color w:val="000000"/>
                <w:kern w:val="0"/>
                <w:sz w:val="24"/>
                <w:szCs w:val="24"/>
                <w:u w:val="none"/>
                <w:lang w:val="en-US" w:eastAsia="zh-CN" w:bidi="ar"/>
              </w:rPr>
              <w:t>处罚依据</w:t>
            </w:r>
          </w:p>
        </w:tc>
        <w:tc>
          <w:tcPr>
            <w:tcW w:w="900"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CESI仿宋-GB2312" w:hAnsi="CESI仿宋-GB2312" w:eastAsia="CESI仿宋-GB2312" w:cs="CESI仿宋-GB2312"/>
                <w:b/>
                <w:i w:val="0"/>
                <w:color w:val="000000"/>
                <w:sz w:val="18"/>
                <w:szCs w:val="18"/>
                <w:u w:val="none"/>
              </w:rPr>
            </w:pPr>
          </w:p>
        </w:tc>
        <w:tc>
          <w:tcPr>
            <w:tcW w:w="851"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hint="eastAsia" w:ascii="CESI仿宋-GB2312" w:hAnsi="CESI仿宋-GB2312" w:eastAsia="CESI仿宋-GB2312" w:cs="CESI仿宋-GB2312"/>
                <w:b/>
                <w:i w:val="0"/>
                <w:color w:val="000000"/>
                <w:sz w:val="18"/>
                <w:szCs w:val="18"/>
                <w:u w:val="none"/>
              </w:rPr>
            </w:pPr>
          </w:p>
        </w:tc>
        <w:tc>
          <w:tcPr>
            <w:tcW w:w="341" w:type="pct"/>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18"/>
                <w:szCs w:val="18"/>
                <w:u w:val="none"/>
              </w:rPr>
            </w:pPr>
          </w:p>
        </w:tc>
        <w:tc>
          <w:tcPr>
            <w:tcW w:w="341" w:type="pct"/>
            <w:gridSpan w:val="2"/>
            <w:vMerge w:val="continue"/>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CESI仿宋-GB2312" w:hAnsi="CESI仿宋-GB2312" w:eastAsia="CESI仿宋-GB2312" w:cs="CESI仿宋-GB2312"/>
                <w:b/>
                <w:i w:val="0"/>
                <w:color w:val="000000"/>
                <w:sz w:val="18"/>
                <w:szCs w:val="18"/>
                <w:u w:val="none"/>
              </w:rPr>
            </w:pPr>
          </w:p>
        </w:tc>
        <w:tc>
          <w:tcPr>
            <w:tcW w:w="425" w:type="pct"/>
            <w:vMerge w:val="continue"/>
            <w:tcBorders>
              <w:top w:val="single" w:color="auto" w:sz="4" w:space="0"/>
              <w:left w:val="single" w:color="000000" w:sz="4" w:space="0"/>
              <w:bottom w:val="single" w:color="000000" w:sz="4" w:space="0"/>
              <w:right w:val="single" w:color="auto" w:sz="4" w:space="0"/>
            </w:tcBorders>
            <w:noWrap w:val="0"/>
            <w:vAlign w:val="center"/>
          </w:tcPr>
          <w:p>
            <w:pPr>
              <w:jc w:val="center"/>
              <w:rPr>
                <w:rFonts w:hint="eastAsia" w:ascii="CESI仿宋-GB2312" w:hAnsi="CESI仿宋-GB2312" w:eastAsia="CESI仿宋-GB2312" w:cs="CESI仿宋-GB2312"/>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3"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C2601900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C010</w:t>
            </w:r>
          </w:p>
        </w:tc>
        <w:tc>
          <w:tcPr>
            <w:tcW w:w="629"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粮油仓储单位未在规定时间向粮食行政管理部门备案的行为。</w:t>
            </w:r>
          </w:p>
        </w:tc>
        <w:tc>
          <w:tcPr>
            <w:tcW w:w="44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《粮油仓储管理办法》第六条</w:t>
            </w:r>
          </w:p>
        </w:tc>
        <w:tc>
          <w:tcPr>
            <w:tcW w:w="444"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《粮油仓储管理办法》第二十八条</w:t>
            </w:r>
          </w:p>
        </w:tc>
        <w:tc>
          <w:tcPr>
            <w:tcW w:w="90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粮油仓储单位未在规定时间向粮食行政管理部门备案的。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责令改正，给予警告。</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不纳入</w:t>
            </w:r>
          </w:p>
        </w:tc>
        <w:tc>
          <w:tcPr>
            <w:tcW w:w="34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不公示</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C2601900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C020</w:t>
            </w:r>
          </w:p>
        </w:tc>
        <w:tc>
          <w:tcPr>
            <w:tcW w:w="629" w:type="pct"/>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处1万元以下罚款。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一般  </w:t>
            </w:r>
          </w:p>
        </w:tc>
        <w:tc>
          <w:tcPr>
            <w:tcW w:w="34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C2602000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C010</w:t>
            </w:r>
          </w:p>
        </w:tc>
        <w:tc>
          <w:tcPr>
            <w:tcW w:w="6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粮油仓储单位备案内容弄虚作假的行为。</w:t>
            </w:r>
          </w:p>
        </w:tc>
        <w:tc>
          <w:tcPr>
            <w:tcW w:w="44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《粮油仓储管理办法》第六条</w:t>
            </w:r>
          </w:p>
        </w:tc>
        <w:tc>
          <w:tcPr>
            <w:tcW w:w="444"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《粮油仓储管理办法》第二十八条</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粮油仓储单位备案内容弄虚作假的。</w:t>
            </w:r>
          </w:p>
        </w:tc>
        <w:tc>
          <w:tcPr>
            <w:tcW w:w="851" w:type="pct"/>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责令改正，给予警告。</w:t>
            </w:r>
          </w:p>
        </w:tc>
        <w:tc>
          <w:tcPr>
            <w:tcW w:w="34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不纳入</w:t>
            </w:r>
          </w:p>
        </w:tc>
        <w:tc>
          <w:tcPr>
            <w:tcW w:w="341" w:type="pct"/>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不公示</w:t>
            </w:r>
          </w:p>
        </w:tc>
        <w:tc>
          <w:tcPr>
            <w:tcW w:w="42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C2602000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C020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拒不改正的。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处1万元以下罚款。</w:t>
            </w:r>
          </w:p>
        </w:tc>
        <w:tc>
          <w:tcPr>
            <w:tcW w:w="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一般  </w:t>
            </w:r>
          </w:p>
        </w:tc>
        <w:tc>
          <w:tcPr>
            <w:tcW w:w="34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2"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C2602100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B010</w:t>
            </w:r>
          </w:p>
        </w:tc>
        <w:tc>
          <w:tcPr>
            <w:tcW w:w="6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粮油仓储单位未拥有固定经营场地，或者不</w:t>
            </w:r>
            <w:r>
              <w:rPr>
                <w:rFonts w:hint="eastAsia" w:ascii="宋体" w:hAnsi="宋体" w:eastAsia="宋体" w:cs="宋体"/>
                <w:i w:val="0"/>
                <w:color w:val="000000"/>
                <w:kern w:val="0"/>
                <w:sz w:val="21"/>
                <w:szCs w:val="21"/>
                <w:highlight w:val="none"/>
                <w:u w:val="none"/>
                <w:lang w:val="en-US" w:eastAsia="zh-CN" w:bidi="ar"/>
              </w:rPr>
              <w:t>符合</w:t>
            </w:r>
            <w:r>
              <w:rPr>
                <w:rFonts w:hint="eastAsia" w:ascii="宋体" w:hAnsi="宋体" w:eastAsia="宋体" w:cs="宋体"/>
                <w:i w:val="0"/>
                <w:color w:val="000000"/>
                <w:kern w:val="0"/>
                <w:sz w:val="21"/>
                <w:szCs w:val="21"/>
                <w:u w:val="none"/>
                <w:lang w:val="en-US" w:eastAsia="zh-CN" w:bidi="ar"/>
              </w:rPr>
              <w:t>《粮油仓储管理办法》有关污染源、危险源安全距离的规定的行为。</w:t>
            </w:r>
          </w:p>
        </w:tc>
        <w:tc>
          <w:tcPr>
            <w:tcW w:w="4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《粮油仓储管理办法》第七条第（一）项</w:t>
            </w:r>
          </w:p>
        </w:tc>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《粮油仓储管理办法》第二十九条</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粮油仓储单位不具备固定经营场地，或者不符合《粮油仓储管理办法》有关污染源、危险源安全距离规定的。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责令改正，给予警告。</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C2602100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B020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粮油仓储单位不符合《粮油仓储管理办法》有关污染源、危险源安全距离的规定，责令改正，拒不改正的。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处1万元以上2万元以下罚款。</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3"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C2602100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B030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粮油仓储单位不具备固定经营场地，责令改正，拒不改正的。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处2万元以上3万元以下罚款。</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3"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C2602200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B010</w:t>
            </w:r>
          </w:p>
        </w:tc>
        <w:tc>
          <w:tcPr>
            <w:tcW w:w="6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粮油仓储单位未拥有与从事粮油仓储活动相适应的设施设备，</w:t>
            </w:r>
            <w:r>
              <w:rPr>
                <w:rFonts w:hint="eastAsia" w:ascii="宋体" w:hAnsi="宋体" w:eastAsia="宋体" w:cs="宋体"/>
                <w:i w:val="0"/>
                <w:color w:val="000000"/>
                <w:kern w:val="0"/>
                <w:sz w:val="21"/>
                <w:szCs w:val="21"/>
                <w:highlight w:val="none"/>
                <w:u w:val="none"/>
                <w:lang w:val="en-US" w:eastAsia="zh-CN" w:bidi="ar"/>
              </w:rPr>
              <w:t>或者不符合</w:t>
            </w:r>
            <w:r>
              <w:rPr>
                <w:rFonts w:hint="eastAsia" w:ascii="宋体" w:hAnsi="宋体" w:eastAsia="宋体" w:cs="宋体"/>
                <w:i w:val="0"/>
                <w:color w:val="000000"/>
                <w:kern w:val="0"/>
                <w:sz w:val="21"/>
                <w:szCs w:val="21"/>
                <w:u w:val="none"/>
                <w:lang w:val="en-US" w:eastAsia="zh-CN" w:bidi="ar"/>
              </w:rPr>
              <w:t>粮油储藏技术规范的要求的行为。</w:t>
            </w:r>
          </w:p>
        </w:tc>
        <w:tc>
          <w:tcPr>
            <w:tcW w:w="4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《粮油仓储管理办法》第七条第（二）项</w:t>
            </w:r>
          </w:p>
        </w:tc>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《粮油仓储管理办法》第二十九条</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粮油仓储单位不具备与从事粮油仓储活动相适应的设施设备，或者不符合粮油储藏技术规范要求的。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责令改正，给予警告。</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C2602200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B020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粮油仓储单位从事粮油仓储活动的设施设备不符合粮油储藏技术规范的要求，责令改正，拒不改正的。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处1万元以上2万元以下罚款。</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C2602200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B030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粮油仓储单位不具备与从事粮油仓储活动相适应的设施设备的，责令改正，拒不改正的。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处2万元以上3万元以下罚款。</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1"/>
                <w:szCs w:val="21"/>
                <w:u w:val="none"/>
                <w:lang w:val="en-US" w:eastAsia="zh-CN" w:bidi="ar"/>
              </w:rPr>
              <w:t>32</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C2602300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B010</w:t>
            </w:r>
          </w:p>
        </w:tc>
        <w:tc>
          <w:tcPr>
            <w:tcW w:w="6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粮油仓储单位未拥有相应的专业技术管理人员的行为。</w:t>
            </w:r>
          </w:p>
        </w:tc>
        <w:tc>
          <w:tcPr>
            <w:tcW w:w="4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《粮油仓储管理办法》第七条第（三）项</w:t>
            </w:r>
          </w:p>
        </w:tc>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《粮油仓储管理办法》第二十九条</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粮油仓储单位未拥有相应的专业技术管理人员的。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责令改正，给予警告。</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8"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C2602300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B020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责令改正，拒不改正，且粮油仓储单位实际拥有的专业技术管理人员人数占规定人数50%以上的。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处1万元以上2万元以下罚款。</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C2602300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B030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责令改正，拒不改正，且粮油仓储单位实际拥有的专业技术管理人员人数占规定人数50%以下的。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处2万元以上3万元以下罚款。</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C2602400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B000</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未经国家粮食行政管理部门批准，粮油仓储单位名称中使用“国家储备粮”和“中央储备粮”字样的行为。</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《粮油仓储管理办法》第八条</w:t>
            </w:r>
          </w:p>
        </w:tc>
        <w:tc>
          <w:tcPr>
            <w:tcW w:w="4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《粮油仓储管理办法》第三十条</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未经国家粮食行政管理部门批准，粮油仓储单位名称中使用“国家储备粮”和“中央储备粮”字样的。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责令改正，给予警告。</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C2602500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B010</w:t>
            </w:r>
          </w:p>
        </w:tc>
        <w:tc>
          <w:tcPr>
            <w:tcW w:w="6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粮油仓储单位违反《粮油仓储管理办法》有关粮油出入库、储存等管理规定的行为。</w:t>
            </w:r>
          </w:p>
        </w:tc>
        <w:tc>
          <w:tcPr>
            <w:tcW w:w="440"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《粮油仓储管理办法》第三十一条</w:t>
            </w:r>
          </w:p>
        </w:tc>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《粮油仓储管理办法》第三十一条</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w w:val="90"/>
                <w:kern w:val="0"/>
                <w:sz w:val="21"/>
                <w:szCs w:val="21"/>
                <w:u w:val="none"/>
                <w:lang w:val="en-US" w:eastAsia="zh-CN" w:bidi="ar"/>
              </w:rPr>
            </w:pPr>
            <w:r>
              <w:rPr>
                <w:rFonts w:hint="eastAsia" w:ascii="宋体" w:hAnsi="宋体" w:eastAsia="宋体" w:cs="宋体"/>
                <w:i w:val="0"/>
                <w:color w:val="000000"/>
                <w:w w:val="90"/>
                <w:kern w:val="0"/>
                <w:sz w:val="21"/>
                <w:szCs w:val="21"/>
                <w:u w:val="none"/>
                <w:lang w:val="en-US" w:eastAsia="zh-CN" w:bidi="ar"/>
              </w:rPr>
              <w:t>粮油仓储单位违反《粮油仓储管理办法》有关粮油出入库、储存等管理规定的。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w w:val="90"/>
                <w:kern w:val="0"/>
                <w:sz w:val="21"/>
                <w:szCs w:val="21"/>
                <w:u w:val="none"/>
                <w:lang w:val="en-US" w:eastAsia="zh-CN" w:bidi="ar"/>
              </w:rPr>
            </w:pPr>
            <w:r>
              <w:rPr>
                <w:rFonts w:hint="eastAsia" w:ascii="宋体" w:hAnsi="宋体" w:eastAsia="宋体" w:cs="宋体"/>
                <w:i w:val="0"/>
                <w:color w:val="000000"/>
                <w:w w:val="90"/>
                <w:kern w:val="0"/>
                <w:sz w:val="21"/>
                <w:szCs w:val="21"/>
                <w:u w:val="none"/>
                <w:lang w:val="en-US" w:eastAsia="zh-CN" w:bidi="ar"/>
              </w:rPr>
              <w:t>责令改正，给予警告。造成粮油储存事故或者安全生产事故的，按照有关法律法规和国家有关规定给予处罚。</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一般</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8"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C2602500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B020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w w:val="90"/>
                <w:kern w:val="0"/>
                <w:sz w:val="21"/>
                <w:szCs w:val="21"/>
                <w:u w:val="none"/>
                <w:lang w:val="en-US" w:eastAsia="zh-CN" w:bidi="ar"/>
              </w:rPr>
            </w:pPr>
            <w:r>
              <w:rPr>
                <w:rFonts w:hint="eastAsia" w:ascii="宋体" w:hAnsi="宋体" w:eastAsia="宋体" w:cs="宋体"/>
                <w:i w:val="0"/>
                <w:color w:val="000000"/>
                <w:w w:val="90"/>
                <w:kern w:val="0"/>
                <w:sz w:val="21"/>
                <w:szCs w:val="21"/>
                <w:u w:val="none"/>
                <w:lang w:val="en-US" w:eastAsia="zh-CN" w:bidi="ar"/>
              </w:rPr>
              <w:t>粮油仓储单位违反《粮油仓储管理办法》第十一条、第十五条、第十七条、第十九条、第二十二条，情节严重的，或经警告后仍不改正的。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w w:val="90"/>
                <w:kern w:val="0"/>
                <w:sz w:val="21"/>
                <w:szCs w:val="21"/>
                <w:u w:val="none"/>
                <w:lang w:val="en-US" w:eastAsia="zh-CN" w:bidi="ar"/>
              </w:rPr>
            </w:pPr>
            <w:r>
              <w:rPr>
                <w:rFonts w:hint="eastAsia" w:ascii="宋体" w:hAnsi="宋体" w:eastAsia="宋体" w:cs="宋体"/>
                <w:i w:val="0"/>
                <w:color w:val="000000"/>
                <w:w w:val="90"/>
                <w:kern w:val="0"/>
                <w:sz w:val="21"/>
                <w:szCs w:val="21"/>
                <w:u w:val="none"/>
                <w:lang w:val="en-US" w:eastAsia="zh-CN" w:bidi="ar"/>
              </w:rPr>
              <w:t>责令改正，给予警告，可以并处1万元以下罚款；造成粮油储存事故或者安全生产事故的，按照有关法律法规和国家有关规定给予处罚。</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C2602500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B030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w w:val="90"/>
                <w:kern w:val="0"/>
                <w:sz w:val="21"/>
                <w:szCs w:val="21"/>
                <w:u w:val="none"/>
                <w:lang w:val="en-US" w:eastAsia="zh-CN" w:bidi="ar"/>
              </w:rPr>
            </w:pPr>
            <w:r>
              <w:rPr>
                <w:rFonts w:hint="eastAsia" w:ascii="宋体" w:hAnsi="宋体" w:eastAsia="宋体" w:cs="宋体"/>
                <w:i w:val="0"/>
                <w:color w:val="000000"/>
                <w:w w:val="90"/>
                <w:kern w:val="0"/>
                <w:sz w:val="21"/>
                <w:szCs w:val="21"/>
                <w:u w:val="none"/>
                <w:lang w:val="en-US" w:eastAsia="zh-CN" w:bidi="ar"/>
              </w:rPr>
              <w:t>粮油仓储单位违反《粮油仓储管理办法》第九条、第十条、第十二条、第十三条、第十六条、第十八条、第二十三条、第二十四条，情节严重的，或经警告后仍不改正的。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w w:val="90"/>
                <w:kern w:val="0"/>
                <w:sz w:val="21"/>
                <w:szCs w:val="21"/>
                <w:u w:val="none"/>
                <w:lang w:val="en-US" w:eastAsia="zh-CN" w:bidi="ar"/>
              </w:rPr>
            </w:pPr>
            <w:r>
              <w:rPr>
                <w:rFonts w:hint="eastAsia" w:ascii="宋体" w:hAnsi="宋体" w:eastAsia="宋体" w:cs="宋体"/>
                <w:i w:val="0"/>
                <w:color w:val="000000"/>
                <w:w w:val="90"/>
                <w:kern w:val="0"/>
                <w:sz w:val="21"/>
                <w:szCs w:val="21"/>
                <w:u w:val="none"/>
                <w:lang w:val="en-US" w:eastAsia="zh-CN" w:bidi="ar"/>
              </w:rPr>
              <w:t>责令改正，给予警告，可以并处1万元以上2万元以下罚款；造成粮油储存事故或者安全生产事故的，按照有关法律法规和国家有关规定给予处罚。</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6"/>
                <w:szCs w:val="16"/>
                <w:u w:val="none"/>
              </w:rPr>
            </w:pP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C2602500</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B040</w:t>
            </w:r>
          </w:p>
        </w:tc>
        <w:tc>
          <w:tcPr>
            <w:tcW w:w="62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40" w:type="pct"/>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w w:val="90"/>
                <w:kern w:val="0"/>
                <w:sz w:val="21"/>
                <w:szCs w:val="21"/>
                <w:u w:val="none"/>
                <w:lang w:val="en-US" w:eastAsia="zh-CN" w:bidi="ar"/>
              </w:rPr>
            </w:pPr>
            <w:r>
              <w:rPr>
                <w:rFonts w:hint="eastAsia" w:ascii="宋体" w:hAnsi="宋体" w:eastAsia="宋体" w:cs="宋体"/>
                <w:i w:val="0"/>
                <w:color w:val="000000"/>
                <w:w w:val="90"/>
                <w:kern w:val="0"/>
                <w:sz w:val="21"/>
                <w:szCs w:val="21"/>
                <w:u w:val="none"/>
                <w:lang w:val="en-US" w:eastAsia="zh-CN" w:bidi="ar"/>
              </w:rPr>
              <w:t>粮油仓储单位违反《粮油仓储管理办法》第十四条、第二十五条、第二十六条、第二十七条，情节严重的，或经警告后仍不改正的。</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w w:val="90"/>
                <w:kern w:val="0"/>
                <w:sz w:val="21"/>
                <w:szCs w:val="21"/>
                <w:u w:val="none"/>
                <w:lang w:val="en-US" w:eastAsia="zh-CN" w:bidi="ar"/>
              </w:rPr>
            </w:pPr>
            <w:r>
              <w:rPr>
                <w:rFonts w:hint="eastAsia" w:ascii="宋体" w:hAnsi="宋体" w:eastAsia="宋体" w:cs="宋体"/>
                <w:i w:val="0"/>
                <w:color w:val="000000"/>
                <w:w w:val="90"/>
                <w:kern w:val="0"/>
                <w:sz w:val="21"/>
                <w:szCs w:val="21"/>
                <w:u w:val="none"/>
                <w:lang w:val="en-US" w:eastAsia="zh-CN" w:bidi="ar"/>
              </w:rPr>
              <w:t>责令改正，给予警告，可以并处2万元以上3万元以下罚款；造成粮油储存事故或者安全生产事故的，按照有关法律法规和国家有关规定给予处罚。</w:t>
            </w:r>
          </w:p>
        </w:tc>
        <w:tc>
          <w:tcPr>
            <w:tcW w:w="34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严重</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12个月</w:t>
            </w:r>
          </w:p>
        </w:tc>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21"/>
                <w:szCs w:val="21"/>
                <w:u w:val="none"/>
                <w:lang w:val="en-US" w:eastAsia="zh-CN" w:bidi="ar"/>
              </w:rPr>
              <w:t>3-6个月</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000000"/>
    <w:rsid w:val="10FA2DD1"/>
    <w:rsid w:val="289101EC"/>
    <w:rsid w:val="3D976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76" w:lineRule="auto"/>
      <w:outlineLvl w:val="0"/>
    </w:pPr>
    <w:rPr>
      <w:rFonts w:ascii="Calibri" w:hAnsi="Calibri" w:eastAsia="宋体" w:cs="Times New Roman"/>
      <w:b/>
      <w:kern w:val="44"/>
      <w:sz w:val="32"/>
    </w:rPr>
  </w:style>
  <w:style w:type="paragraph" w:styleId="4">
    <w:name w:val="heading 2"/>
    <w:basedOn w:val="1"/>
    <w:next w:val="1"/>
    <w:semiHidden/>
    <w:unhideWhenUsed/>
    <w:qFormat/>
    <w:uiPriority w:val="0"/>
    <w:pPr>
      <w:keepNext/>
      <w:keepLines/>
      <w:spacing w:beforeLines="0" w:beforeAutospacing="0" w:afterLines="0" w:afterAutospacing="0" w:line="413" w:lineRule="auto"/>
      <w:ind w:firstLine="420" w:firstLineChars="200"/>
      <w:outlineLvl w:val="1"/>
    </w:pPr>
    <w:rPr>
      <w:rFonts w:ascii="Arial" w:hAnsi="Arial" w:eastAsia="黑体" w:cs="Times New Roman"/>
      <w:b/>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semiHidden/>
    <w:qFormat/>
    <w:uiPriority w:val="0"/>
    <w:pPr>
      <w:spacing w:after="120"/>
      <w:ind w:left="420" w:leftChars="200" w:firstLine="420" w:firstLineChars="200"/>
      <w:jc w:val="both"/>
      <w:textAlignment w:val="baseline"/>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2023-11-02T01:51:00Z</dcterms:created>
  <dc:creator>lenovo</dc:creator>
  <cp:lastModifiedBy>学知言</cp:lastModifiedBy>
  <dcterms:modified xsi:type="dcterms:W3CDTF">2024-05-22T08:30:19Z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47B8FAABD1AF4814A249DECE118E9D7F_12</vt:lpwstr>
  </property>
</Properties>
</file>