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1400" w:lineRule="exact"/>
        <w:ind w:right="578"/>
        <w:rPr>
          <w:rFonts w:hint="eastAsia" w:ascii="黑体" w:hAnsi="宋体" w:eastAsia="黑体"/>
          <w:color w:val="000000"/>
          <w:kern w:val="84"/>
          <w:sz w:val="32"/>
          <w:szCs w:val="32"/>
        </w:rPr>
      </w:pPr>
    </w:p>
    <w:p>
      <w:pPr>
        <w:spacing w:line="820" w:lineRule="exact"/>
        <w:ind w:right="144" w:firstLine="6174" w:firstLineChars="2144"/>
        <w:jc w:val="right"/>
        <w:rPr>
          <w:rFonts w:hint="eastAsia" w:ascii="黑体" w:hAnsi="宋体" w:eastAsia="黑体"/>
          <w:color w:val="000000"/>
          <w:w w:val="90"/>
          <w:kern w:val="84"/>
          <w:sz w:val="32"/>
          <w:szCs w:val="32"/>
        </w:rPr>
      </w:pPr>
    </w:p>
    <w:p>
      <w:pPr>
        <w:spacing w:line="1200" w:lineRule="exact"/>
        <w:jc w:val="center"/>
        <w:rPr>
          <w:rFonts w:hint="eastAsia" w:ascii="仿宋_GB2312" w:eastAsia="仿宋_GB2312"/>
          <w:color w:val="FFFFFF" w:themeColor="background1"/>
          <w:w w:val="50"/>
          <w:sz w:val="110"/>
          <w:szCs w:val="110"/>
          <w14:textFill>
            <w14:solidFill>
              <w14:schemeClr w14:val="bg1"/>
            </w14:solidFill>
          </w14:textFill>
        </w:rPr>
      </w:pPr>
      <w:r>
        <w:rPr>
          <w:rFonts w:hint="eastAsia" w:ascii="方正小标宋简体" w:eastAsia="方正小标宋简体"/>
          <w:color w:val="FFFFFF" w:themeColor="background1"/>
          <w:w w:val="50"/>
          <w:kern w:val="84"/>
          <w:sz w:val="110"/>
          <w:szCs w:val="110"/>
          <w14:textFill>
            <w14:solidFill>
              <w14:schemeClr w14:val="bg1"/>
            </w14:solidFill>
          </w14:textFill>
        </w:rPr>
        <w:t>北京市住房和城乡建设委员会文件</w:t>
      </w:r>
    </w:p>
    <w:p>
      <w:pPr>
        <w:spacing w:line="560" w:lineRule="exact"/>
        <w:ind w:firstLine="160" w:firstLineChars="50"/>
        <w:rPr>
          <w:rFonts w:hint="eastAsia" w:ascii="仿宋_GB2312" w:eastAsia="仿宋_GB2312"/>
          <w:sz w:val="32"/>
        </w:rPr>
      </w:pPr>
      <w:r>
        <w:rPr>
          <w:rFonts w:hint="eastAsia" w:ascii="仿宋_GB2312" w:eastAsia="仿宋_GB2312"/>
          <w:sz w:val="32"/>
        </w:rPr>
        <w:t xml:space="preserve">        </w:t>
      </w:r>
      <w:r>
        <w:rPr>
          <w:rFonts w:hint="eastAsia" w:ascii="仿宋_GB2312" w:eastAsia="仿宋_GB2312"/>
          <w:spacing w:val="-20"/>
          <w:sz w:val="32"/>
          <w:szCs w:val="32"/>
        </w:rPr>
        <w:t xml:space="preserve"> </w:t>
      </w:r>
      <w:r>
        <w:rPr>
          <w:rFonts w:hint="eastAsia" w:ascii="仿宋_GB2312" w:eastAsia="仿宋_GB2312"/>
          <w:sz w:val="32"/>
        </w:rPr>
        <w:t xml:space="preserve">                             </w:t>
      </w:r>
    </w:p>
    <w:p>
      <w:pPr>
        <w:autoSpaceDE w:val="0"/>
        <w:autoSpaceDN w:val="0"/>
        <w:adjustRightInd w:val="0"/>
        <w:spacing w:line="560" w:lineRule="exact"/>
        <w:rPr>
          <w:rFonts w:hint="eastAsia" w:ascii="楷体_GB2312" w:eastAsia="楷体_GB2312" w:cs="楷体_GB2312"/>
          <w:sz w:val="32"/>
          <w:szCs w:val="32"/>
          <w:lang w:val="zh-CN"/>
        </w:rPr>
      </w:pPr>
    </w:p>
    <w:p>
      <w:pPr>
        <w:autoSpaceDE w:val="0"/>
        <w:autoSpaceDN w:val="0"/>
        <w:adjustRightInd w:val="0"/>
        <w:spacing w:line="520" w:lineRule="exact"/>
        <w:jc w:val="center"/>
        <w:rPr>
          <w:rFonts w:hint="eastAsia" w:ascii="仿宋_GB2312" w:eastAsia="仿宋_GB2312" w:cs="楷体_GB2312"/>
          <w:sz w:val="32"/>
          <w:szCs w:val="32"/>
          <w:lang w:val="zh-CN"/>
        </w:rPr>
      </w:pPr>
      <w:r>
        <w:rPr>
          <w:rFonts w:hint="eastAsia" w:ascii="仿宋_GB2312" w:eastAsia="仿宋_GB2312" w:cs="楷体_GB2312"/>
          <w:sz w:val="32"/>
          <w:szCs w:val="32"/>
          <w:lang w:val="zh-CN"/>
        </w:rPr>
        <w:t>京建法〔202</w:t>
      </w:r>
      <w:r>
        <w:rPr>
          <w:rFonts w:hint="eastAsia" w:ascii="仿宋_GB2312" w:eastAsia="仿宋_GB2312" w:cs="楷体_GB2312"/>
          <w:sz w:val="32"/>
          <w:szCs w:val="32"/>
          <w:lang w:val="en-US" w:eastAsia="zh-CN"/>
        </w:rPr>
        <w:t>3</w:t>
      </w:r>
      <w:r>
        <w:rPr>
          <w:rFonts w:hint="eastAsia" w:ascii="仿宋_GB2312" w:eastAsia="仿宋_GB2312" w:cs="楷体_GB2312"/>
          <w:sz w:val="32"/>
          <w:szCs w:val="32"/>
          <w:lang w:val="zh-CN"/>
        </w:rPr>
        <w:t>〕</w:t>
      </w:r>
      <w:r>
        <w:rPr>
          <w:rFonts w:hint="eastAsia" w:ascii="仿宋_GB2312" w:eastAsia="仿宋_GB2312" w:cs="楷体_GB2312"/>
          <w:sz w:val="32"/>
          <w:szCs w:val="32"/>
          <w:lang w:val="en-US" w:eastAsia="zh-CN"/>
        </w:rPr>
        <w:t>5</w:t>
      </w:r>
      <w:r>
        <w:rPr>
          <w:rFonts w:hint="eastAsia" w:ascii="仿宋_GB2312" w:eastAsia="仿宋_GB2312" w:cs="楷体_GB2312"/>
          <w:sz w:val="32"/>
          <w:szCs w:val="32"/>
          <w:lang w:val="zh-CN"/>
        </w:rPr>
        <w:t>号</w:t>
      </w:r>
    </w:p>
    <w:p>
      <w:pPr>
        <w:spacing w:line="600" w:lineRule="exact"/>
        <w:rPr>
          <w:rFonts w:hint="eastAsia" w:ascii="仿宋_GB2312" w:eastAsia="仿宋_GB2312" w:cs="楷体_GB2312"/>
          <w:sz w:val="32"/>
          <w:szCs w:val="32"/>
        </w:rPr>
      </w:pPr>
      <w:r>
        <w:rPr>
          <w:rFonts w:hint="eastAsia" w:ascii="仿宋_GB2312" w:eastAsia="仿宋_GB2312" w:cs="楷体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91440</wp:posOffset>
                </wp:positionV>
                <wp:extent cx="5600700" cy="0"/>
                <wp:effectExtent l="0" t="0" r="0" b="0"/>
                <wp:wrapNone/>
                <wp:docPr id="1" name="直线 519"/>
                <wp:cNvGraphicFramePr/>
                <a:graphic xmlns:a="http://schemas.openxmlformats.org/drawingml/2006/main">
                  <a:graphicData uri="http://schemas.microsoft.com/office/word/2010/wordprocessingShape">
                    <wps:wsp>
                      <wps:cNvCnPr/>
                      <wps:spPr>
                        <a:xfrm>
                          <a:off x="0" y="0"/>
                          <a:ext cx="5600700" cy="0"/>
                        </a:xfrm>
                        <a:prstGeom prst="line">
                          <a:avLst/>
                        </a:prstGeom>
                        <a:ln w="19050" cap="flat" cmpd="sng">
                          <a:noFill/>
                          <a:prstDash val="solid"/>
                          <a:headEnd type="none" w="med" len="med"/>
                          <a:tailEnd type="none" w="med" len="med"/>
                        </a:ln>
                      </wps:spPr>
                      <wps:bodyPr upright="1"/>
                    </wps:wsp>
                  </a:graphicData>
                </a:graphic>
              </wp:anchor>
            </w:drawing>
          </mc:Choice>
          <mc:Fallback>
            <w:pict>
              <v:line id="直线 519" o:spid="_x0000_s1026" o:spt="20" style="position:absolute;left:0pt;margin-left:0pt;margin-top:7.2pt;height:0pt;width:441pt;z-index:251659264;mso-width-relative:page;mso-height-relative:page;" filled="f" stroked="f" coordsize="21600,21600" o:gfxdata="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u3bQ7SAAAABgEAAA8AAAAAAAAAAQAgAAAA&#10;IgAAAGRycy9kb3ducmV2LnhtbFBLAQIUABQAAAAIAIdO4kDMsuCl2AEAALUDAAAOAAAAAAAAAAEA&#10;IAAAACEBAABkcnMvZTJvRG9jLnhtbFBLBQYAAAAABgAGAFkBAABrBQAAAAA=&#10;">
                <v:fill on="f" focussize="0,0"/>
                <v:stroke on="f" weight="1.5pt"/>
                <v:imagedata o:title=""/>
                <o:lock v:ext="edit" aspectratio="f"/>
              </v:line>
            </w:pict>
          </mc:Fallback>
        </mc:AlternateContent>
      </w:r>
    </w:p>
    <w:p>
      <w:pPr>
        <w:spacing w:line="600" w:lineRule="exact"/>
        <w:rPr>
          <w:rFonts w:hint="eastAsia" w:ascii="仿宋_GB2312" w:eastAsia="仿宋_GB2312" w:cs="楷体_GB2312"/>
          <w:sz w:val="32"/>
          <w:szCs w:val="32"/>
        </w:rPr>
      </w:pPr>
    </w:p>
    <w:p>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北京市住房和城乡建设委员会</w:t>
      </w:r>
    </w:p>
    <w:p>
      <w:pPr>
        <w:spacing w:line="580" w:lineRule="exact"/>
        <w:jc w:val="center"/>
        <w:rPr>
          <w:rFonts w:hint="eastAsia" w:ascii="方正小标宋简体" w:eastAsia="方正小标宋简体" w:cs="楷体_GB2312"/>
          <w:sz w:val="44"/>
          <w:szCs w:val="44"/>
        </w:rPr>
      </w:pPr>
      <w:r>
        <w:rPr>
          <w:rFonts w:hint="eastAsia" w:ascii="方正小标宋简体" w:eastAsia="方正小标宋简体" w:cs="楷体_GB2312"/>
          <w:sz w:val="44"/>
          <w:szCs w:val="44"/>
        </w:rPr>
        <w:t>关于调整《北京市住房城乡建设系统行政</w:t>
      </w:r>
    </w:p>
    <w:p>
      <w:pPr>
        <w:spacing w:line="580" w:lineRule="exact"/>
        <w:jc w:val="center"/>
        <w:rPr>
          <w:rFonts w:hint="eastAsia" w:ascii="方正小标宋简体" w:eastAsia="方正小标宋简体"/>
          <w:sz w:val="44"/>
          <w:szCs w:val="44"/>
        </w:rPr>
      </w:pPr>
      <w:r>
        <w:rPr>
          <w:rFonts w:hint="eastAsia" w:ascii="方正小标宋简体" w:eastAsia="方正小标宋简体" w:cs="楷体_GB2312"/>
          <w:sz w:val="44"/>
          <w:szCs w:val="44"/>
        </w:rPr>
        <w:t>处罚裁量基准》部分条款的通知</w:t>
      </w:r>
    </w:p>
    <w:p>
      <w:pPr>
        <w:spacing w:line="560" w:lineRule="exact"/>
        <w:rPr>
          <w:rFonts w:hint="eastAsia" w:ascii="方正小标宋简体" w:eastAsia="方正小标宋简体" w:cs="楷体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eastAsia="仿宋_GB2312"/>
          <w:sz w:val="32"/>
          <w:szCs w:val="32"/>
        </w:rPr>
      </w:pPr>
      <w:r>
        <w:rPr>
          <w:rFonts w:hint="eastAsia" w:ascii="仿宋_GB2312" w:eastAsia="仿宋_GB2312"/>
          <w:sz w:val="32"/>
          <w:szCs w:val="32"/>
        </w:rPr>
        <w:t>各区住房城乡建设委（房管局），东城、西城、石景山区住房城市建设委，经济技术开发区综合执法局，机关各处室、各直属单位</w:t>
      </w:r>
      <w:r>
        <w:rPr>
          <w:rFonts w:hint="eastAsia" w:ascii="仿宋_GB2312" w:eastAsia="仿宋_GB2312"/>
          <w:sz w:val="32"/>
          <w:szCs w:val="32"/>
          <w:lang w:eastAsia="zh-CN"/>
        </w:rPr>
        <w:t>，各有关单位</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为贯彻落实《</w:t>
      </w:r>
      <w:r>
        <w:rPr>
          <w:rFonts w:hint="eastAsia" w:ascii="仿宋_GB2312" w:eastAsia="仿宋_GB2312"/>
          <w:sz w:val="32"/>
          <w:szCs w:val="32"/>
          <w:lang w:eastAsia="zh-CN"/>
        </w:rPr>
        <w:t>建设工程质量检测管理办法</w:t>
      </w:r>
      <w:r>
        <w:rPr>
          <w:rFonts w:hint="eastAsia" w:ascii="仿宋_GB2312" w:eastAsia="仿宋_GB2312"/>
          <w:sz w:val="32"/>
          <w:szCs w:val="32"/>
        </w:rPr>
        <w:t>》《房地产开发企业资质管理规定》，</w:t>
      </w:r>
      <w:r>
        <w:rPr>
          <w:rFonts w:hint="eastAsia" w:ascii="仿宋_GB2312" w:eastAsia="仿宋_GB2312"/>
          <w:sz w:val="32"/>
          <w:szCs w:val="32"/>
          <w:lang w:eastAsia="zh-CN"/>
        </w:rPr>
        <w:t>规范各街道办事处、乡镇人民政府行使《北京市物业管理条例》所涉职权，</w:t>
      </w:r>
      <w:r>
        <w:rPr>
          <w:rFonts w:hint="eastAsia" w:ascii="仿宋_GB2312" w:eastAsia="仿宋_GB2312"/>
          <w:sz w:val="32"/>
          <w:szCs w:val="32"/>
        </w:rPr>
        <w:t>市住房城乡建设委</w:t>
      </w:r>
      <w:r>
        <w:rPr>
          <w:rFonts w:hint="eastAsia" w:ascii="仿宋_GB2312" w:eastAsia="仿宋_GB2312"/>
          <w:sz w:val="32"/>
          <w:szCs w:val="32"/>
          <w:lang w:eastAsia="zh-CN"/>
        </w:rPr>
        <w:t>依据法规、规章修订内容对行政处罚裁量基准进行修订，</w:t>
      </w:r>
      <w:r>
        <w:rPr>
          <w:rFonts w:hint="eastAsia" w:ascii="仿宋_GB2312" w:eastAsia="仿宋_GB2312"/>
          <w:sz w:val="32"/>
          <w:szCs w:val="32"/>
        </w:rPr>
        <w:t>调整</w:t>
      </w:r>
      <w:r>
        <w:rPr>
          <w:rFonts w:hint="eastAsia" w:ascii="仿宋_GB2312" w:eastAsia="仿宋_GB2312"/>
          <w:sz w:val="32"/>
          <w:szCs w:val="32"/>
          <w:lang w:val="en-US" w:eastAsia="zh-CN"/>
        </w:rPr>
        <w:t>18</w:t>
      </w:r>
      <w:r>
        <w:rPr>
          <w:rFonts w:hint="eastAsia" w:ascii="仿宋_GB2312" w:eastAsia="仿宋_GB2312"/>
          <w:sz w:val="32"/>
          <w:szCs w:val="32"/>
        </w:rPr>
        <w:t>项，新增</w:t>
      </w:r>
      <w:r>
        <w:rPr>
          <w:rFonts w:hint="eastAsia" w:ascii="仿宋_GB2312" w:eastAsia="仿宋_GB2312"/>
          <w:sz w:val="32"/>
          <w:szCs w:val="32"/>
          <w:lang w:val="en-US" w:eastAsia="zh-CN"/>
        </w:rPr>
        <w:t>20</w:t>
      </w:r>
      <w:r>
        <w:rPr>
          <w:rFonts w:hint="eastAsia" w:ascii="仿宋_GB2312" w:eastAsia="仿宋_GB2312"/>
          <w:sz w:val="32"/>
          <w:szCs w:val="32"/>
        </w:rPr>
        <w:t>项</w:t>
      </w:r>
      <w:r>
        <w:rPr>
          <w:rFonts w:hint="eastAsia" w:ascii="仿宋_GB2312" w:eastAsia="仿宋_GB2312"/>
          <w:sz w:val="32"/>
          <w:szCs w:val="32"/>
          <w:lang w:eastAsia="zh-CN"/>
        </w:rPr>
        <w:t>，包括街道办事处、乡镇人民政府职权</w:t>
      </w:r>
      <w:r>
        <w:rPr>
          <w:rFonts w:hint="eastAsia" w:ascii="仿宋_GB2312" w:eastAsia="仿宋_GB2312"/>
          <w:sz w:val="32"/>
          <w:szCs w:val="32"/>
          <w:lang w:val="en-US" w:eastAsia="zh-CN"/>
        </w:rPr>
        <w:t>2项</w:t>
      </w:r>
      <w:r>
        <w:rPr>
          <w:rFonts w:hint="eastAsia" w:ascii="仿宋_GB2312" w:eastAsia="仿宋_GB2312"/>
          <w:sz w:val="32"/>
          <w:szCs w:val="32"/>
          <w:lang w:eastAsia="zh-CN"/>
        </w:rPr>
        <w:t>，</w:t>
      </w:r>
      <w:r>
        <w:rPr>
          <w:rFonts w:hint="eastAsia" w:ascii="仿宋_GB2312" w:eastAsia="仿宋_GB2312"/>
          <w:sz w:val="32"/>
          <w:szCs w:val="32"/>
          <w:lang w:val="en-US" w:eastAsia="zh-CN"/>
        </w:rPr>
        <w:t>依法</w:t>
      </w:r>
      <w:r>
        <w:rPr>
          <w:rFonts w:hint="eastAsia" w:ascii="仿宋_GB2312" w:eastAsia="仿宋_GB2312"/>
          <w:sz w:val="32"/>
          <w:szCs w:val="32"/>
        </w:rPr>
        <w:t>删除</w:t>
      </w:r>
      <w:r>
        <w:rPr>
          <w:rFonts w:hint="eastAsia" w:ascii="仿宋_GB2312" w:eastAsia="仿宋_GB2312"/>
          <w:sz w:val="32"/>
          <w:szCs w:val="32"/>
          <w:lang w:eastAsia="zh-CN"/>
        </w:rPr>
        <w:t>原职权编号为</w:t>
      </w:r>
      <w:r>
        <w:rPr>
          <w:rFonts w:hint="eastAsia" w:ascii="仿宋_GB2312" w:eastAsia="仿宋_GB2312"/>
          <w:sz w:val="32"/>
          <w:szCs w:val="32"/>
          <w:lang w:val="en-US" w:eastAsia="zh-CN"/>
        </w:rPr>
        <w:t>C1624500、C1624300两项职权及其对应裁量基准</w:t>
      </w:r>
      <w:r>
        <w:rPr>
          <w:rFonts w:hint="eastAsia" w:ascii="仿宋_GB2312" w:eastAsia="仿宋_GB2312"/>
          <w:sz w:val="32"/>
          <w:szCs w:val="32"/>
          <w:lang w:eastAsia="zh-CN"/>
        </w:rPr>
        <w:t>。</w:t>
      </w:r>
      <w:r>
        <w:rPr>
          <w:rFonts w:hint="eastAsia" w:ascii="仿宋_GB2312" w:eastAsia="仿宋_GB2312"/>
          <w:sz w:val="32"/>
          <w:szCs w:val="32"/>
        </w:rPr>
        <w:t>现印发给你们，请认真贯彻执行。</w:t>
      </w:r>
    </w:p>
    <w:p>
      <w:pPr>
        <w:spacing w:line="540" w:lineRule="exact"/>
        <w:ind w:firstLine="645"/>
        <w:jc w:val="left"/>
        <w:rPr>
          <w:rFonts w:ascii="仿宋_GB2312" w:eastAsia="仿宋_GB2312"/>
          <w:color w:val="000000"/>
          <w:sz w:val="32"/>
          <w:szCs w:val="32"/>
        </w:rPr>
      </w:pPr>
      <w:r>
        <w:rPr>
          <w:rFonts w:hint="eastAsia" w:ascii="仿宋_GB2312" w:eastAsia="仿宋_GB2312"/>
          <w:sz w:val="32"/>
          <w:szCs w:val="32"/>
        </w:rPr>
        <w:t>各单位、各部门要进一步加大行政执法力度，依法严肃查处违法违规行为，不断提高执法水平，在行使行政处罚职权时，全面考量当事人违法行为的事实、性质、情节及危害程度等相关因素，严格按照行政处罚裁量基准执行。</w:t>
      </w:r>
      <w:r>
        <w:rPr>
          <w:rFonts w:hint="eastAsia" w:ascii="仿宋_GB2312" w:eastAsia="仿宋_GB2312"/>
          <w:sz w:val="32"/>
          <w:szCs w:val="32"/>
          <w:lang w:eastAsia="zh-CN"/>
        </w:rPr>
        <w:t>同时，</w:t>
      </w:r>
      <w:r>
        <w:rPr>
          <w:rFonts w:hint="eastAsia" w:ascii="仿宋_GB2312" w:eastAsia="仿宋_GB2312"/>
          <w:sz w:val="32"/>
          <w:szCs w:val="32"/>
        </w:rPr>
        <w:t>根据“谁处罚、谁公示”的原则，作出行政处罚的机关即为该行政处罚信息的公示主体。各公示主体负责受理申请缩短公示期的相关工作。</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r>
        <w:rPr>
          <w:rFonts w:hint="eastAsia" w:ascii="仿宋_GB2312" w:eastAsia="仿宋_GB2312"/>
          <w:sz w:val="32"/>
          <w:szCs w:val="32"/>
        </w:rPr>
        <w:t>本通知自印发之日起施行，《北京市住房城乡建设系统行政处罚裁量基准》与本通知不一致的部分，以本通知为准。</w:t>
      </w:r>
    </w:p>
    <w:p>
      <w:pPr>
        <w:keepNext w:val="0"/>
        <w:keepLines w:val="0"/>
        <w:pageBreakBefore w:val="0"/>
        <w:widowControl w:val="0"/>
        <w:kinsoku/>
        <w:wordWrap/>
        <w:overflowPunct/>
        <w:topLinePunct w:val="0"/>
        <w:autoSpaceDE/>
        <w:autoSpaceDN/>
        <w:bidi w:val="0"/>
        <w:adjustRightInd/>
        <w:snapToGrid/>
        <w:spacing w:line="520" w:lineRule="exact"/>
        <w:ind w:firstLine="645"/>
        <w:jc w:val="left"/>
        <w:textAlignment w:val="auto"/>
        <w:rPr>
          <w:rFonts w:hint="eastAsia" w:ascii="仿宋_GB2312" w:eastAsia="仿宋_GB2312"/>
          <w:sz w:val="32"/>
          <w:szCs w:val="32"/>
        </w:rPr>
      </w:pPr>
    </w:p>
    <w:p>
      <w:pPr>
        <w:spacing w:line="580" w:lineRule="exact"/>
        <w:ind w:left="960" w:hanging="960" w:hanging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北京市住房城乡建设系统行政处罚裁量基准调整</w:t>
      </w:r>
      <w:r>
        <w:rPr>
          <w:rFonts w:hint="eastAsia" w:ascii="仿宋_GB2312" w:hAnsi="Times New Roman" w:eastAsia="仿宋_GB2312" w:cs="Times New Roman"/>
          <w:sz w:val="32"/>
          <w:szCs w:val="32"/>
        </w:rPr>
        <w:t>(根据法律法规新增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调整</w:t>
      </w:r>
      <w:r>
        <w:rPr>
          <w:rFonts w:hint="eastAsia" w:ascii="仿宋_GB2312" w:hAnsi="Times New Roman" w:eastAsia="仿宋_GB2312" w:cs="Times New Roman"/>
          <w:sz w:val="32"/>
          <w:szCs w:val="32"/>
          <w:lang w:val="en-US" w:eastAsia="zh-CN"/>
        </w:rPr>
        <w:t>38项</w:t>
      </w:r>
      <w:r>
        <w:rPr>
          <w:rFonts w:hint="eastAsia" w:ascii="仿宋_GB2312" w:hAnsi="Times New Roman" w:eastAsia="仿宋_GB2312" w:cs="Times New Roman"/>
          <w:sz w:val="32"/>
          <w:szCs w:val="32"/>
        </w:rPr>
        <w:t>职权)</w:t>
      </w: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3520" w:firstLineChars="1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北京市住房和城乡建设委员会</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1701" w:right="1474" w:bottom="1701" w:left="1588" w:header="851" w:footer="1588" w:gutter="0"/>
          <w:pgNumType w:fmt="numberInDash"/>
          <w:cols w:space="720" w:num="1"/>
          <w:docGrid w:linePitch="312" w:charSpace="0"/>
        </w:sect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CESI黑体-GB2312" w:hAnsi="CESI黑体-GB2312" w:eastAsia="CESI黑体-GB2312" w:cs="CESI黑体-GB2312"/>
          <w:bCs/>
          <w:kern w:val="0"/>
          <w:sz w:val="36"/>
          <w:szCs w:val="36"/>
          <w:lang w:eastAsia="zh-CN"/>
        </w:rPr>
      </w:pPr>
      <w:r>
        <w:rPr>
          <w:rFonts w:hint="eastAsia" w:ascii="CESI黑体-GB2312" w:hAnsi="CESI黑体-GB2312" w:eastAsia="CESI黑体-GB2312" w:cs="CESI黑体-GB2312"/>
          <w:bCs/>
          <w:kern w:val="0"/>
          <w:sz w:val="36"/>
          <w:szCs w:val="36"/>
          <w:lang w:eastAsia="zh-CN"/>
        </w:rPr>
        <w:t>附件</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北京市住房城乡建设系统行政处罚裁量基准调整</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(根据法</w:t>
      </w:r>
      <w:r>
        <w:rPr>
          <w:rFonts w:hint="eastAsia" w:ascii="方正小标宋简体" w:hAnsi="宋体" w:eastAsia="方正小标宋简体" w:cs="宋体"/>
          <w:bCs/>
          <w:kern w:val="0"/>
          <w:sz w:val="44"/>
          <w:szCs w:val="44"/>
          <w:lang w:eastAsia="zh-CN"/>
        </w:rPr>
        <w:t>规规章</w:t>
      </w:r>
      <w:r>
        <w:rPr>
          <w:rFonts w:hint="eastAsia" w:ascii="方正小标宋简体" w:hAnsi="宋体" w:eastAsia="方正小标宋简体" w:cs="宋体"/>
          <w:bCs/>
          <w:kern w:val="0"/>
          <w:sz w:val="44"/>
          <w:szCs w:val="44"/>
        </w:rPr>
        <w:t>新增、调整</w:t>
      </w:r>
      <w:r>
        <w:rPr>
          <w:rFonts w:hint="eastAsia" w:ascii="方正小标宋简体" w:hAnsi="宋体" w:eastAsia="方正小标宋简体" w:cs="宋体"/>
          <w:bCs/>
          <w:kern w:val="0"/>
          <w:sz w:val="44"/>
          <w:szCs w:val="44"/>
          <w:lang w:val="en-US" w:eastAsia="zh-CN"/>
        </w:rPr>
        <w:t>38项</w:t>
      </w:r>
      <w:r>
        <w:rPr>
          <w:rFonts w:hint="eastAsia" w:ascii="方正小标宋简体" w:hAnsi="宋体" w:eastAsia="方正小标宋简体" w:cs="宋体"/>
          <w:bCs/>
          <w:kern w:val="0"/>
          <w:sz w:val="44"/>
          <w:szCs w:val="44"/>
        </w:rPr>
        <w:t>职权)</w:t>
      </w:r>
    </w:p>
    <w:tbl>
      <w:tblPr>
        <w:tblStyle w:val="1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5"/>
        <w:gridCol w:w="945"/>
        <w:gridCol w:w="1823"/>
        <w:gridCol w:w="1288"/>
        <w:gridCol w:w="1361"/>
        <w:gridCol w:w="489"/>
        <w:gridCol w:w="1333"/>
        <w:gridCol w:w="1875"/>
        <w:gridCol w:w="1968"/>
        <w:gridCol w:w="698"/>
        <w:gridCol w:w="698"/>
        <w:gridCol w:w="7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违法行为认定依据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违法行为处罚依据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职权层级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基准编号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违法情形</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裁量基准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违法行为分类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处罚公示期限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可依申请缩短公示期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法规依据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法律依据</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对检测机构转包或者违法分包建设工程质量检测业务的行为进行处罚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转包或者违法分包检测业务合同金额5万元以上10万元以下的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C1630400B030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转包或者违法分包检测业务合同金额10万元以上的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对检测机构涂改、倒卖、出租、出借或者以其他形式非法转让资质证书的行为进行处罚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对检测机构未按照规定进行档案和台账管理的行为进行处罚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C1630700B030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对检测机构使用不能满足所开展建设工程质量检测活动要求的检测人员或者仪器设备的行为进行处罚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《建设工程质量检测管理办法》第三十条第一款第（五）项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既成事实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对检测机构未及时报告发现的违反有关法律法规规定和工程建设强制性标准等行为，未及时报告涉及结构安全、主要使用功能的不合格检测结果的行为进行处罚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《建设工程质量检测管理办法》第四十五条第一款第（四）（五）项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未按规定上报发现的违法违规行为或检测不合格事项1项以上5项以下的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C1630900B030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未按规定上报发现的违法违规行为和检测不合格事项5项以上；或者未按规定上报发现的违法违规行为或检测不合格事项导致工程发生质量事故的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对检测机构未按规定在检测报告上签字盖章的行为进行处罚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《建设工程质量检测管理办法》第二十一条第一款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1份以上5份以下检测报告未按规定签字盖章的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处3万元以上5万元以下的罚款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5份以上检测报告未按规定签字盖章的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对检测机构超出资质许可范围从事建设工程质量检测活动的行为进行处罚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对未取得相应资质、资质证书已过有效期从事建设工程质量检测活动的行为进行处罚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《建设工程质量检测管理办法》第三条第二款、第十条、第十二条第一款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C1631200B010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可及时纠正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处5万元以上10万元以下的罚款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C1631200B030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既成事实且造成严重后果的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对依据《建设工程质量检测管理办法》给予单位罚款处罚的，对单位直接负责的主管人员和其他直接责任人员进行处罚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给予单位罚款处罚中低档的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给予单位罚款处罚中高档的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处1.5万元以上3万元以下的罚款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对建设、施工、监理等单位提供的检测试样不满足符合性、真实性、代表性要求或取样、制样、送检试样不符合规定和工程建设强制性标准的行为进行处罚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《建设工程质量检测管理办法》第十九条、第二十条第一款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《建设工程质量检测管理办法》第四十七条第一款（四）项、（七）项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检测项目不涉及结构安全，未造成危害后果的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C1631700B020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对建设、施工、监理等单位委托未取得相应资质的检测机构进行检测的行为进行处罚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违法情节较轻的，未造成危害后果的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C1631800B030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对检测机构隐瞒有关情况或者提供虚假材料申请资质的行为进行处罚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C1631900C000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存在违法行为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给予警告，检测机构1年内不得再次申请资质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对以欺骗、贿赂等不正当手段取得建设工程质量检测资质证书的行为进行处罚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C1632000B010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给予警告或者通报批评，并处5万元以上7.5万元以下的罚款，检测机构3年内不得再次申请资质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给予警告或者通报批评，并处7.5万元以上10万元以下的罚款，检测机构3年内不得再次申请资质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C1632000B030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违法情节严重的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给予警告或者通报批评，并处10万元的罚款，检测机构3年内不得再次申请资质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对房屋安全鉴定单位未按照有关法律法规、工程建设标准开展检测、鉴定或出具虚假、错误检测、鉴定报告的行为进行处罚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《北京市房屋建筑使用安全管理办法》第十四条、第十六条第一款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《北京市房屋建筑使用安全管理办法》第三十一条第一款第（一）项、第（二）项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《北京市建设工程质量条例》第七十六条第一款、第二款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未按照非强制性条文开展检测、鉴定活动的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C1659900A020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责令限期改正，并处1万元以上1.5万元以下的罚款，暂停承接相关业务3个月至6个月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责令限期改正，并处1.5万元以上2万元以下的罚款，暂停承接相关业务3个月至6个月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责令限期改正，并处2万元以上2.5万元以下的罚款，暂停承接相关业务3个月至6个月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责令限期改正，并处2.5万元以上3万元以下的罚款，暂停承接相关业务6个月至9个月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责令限期改正，并处3万元罚款，暂停承接相关业务6个月至9个月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出具错误检测、鉴定报告5组（份）以下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处5万元以上7.5万元以下罚款，一年内暂停承接房屋安全鉴定业务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出具错误检测、鉴定报告5组（份）以上；或者出具虚假检测、鉴定报告的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处7.5万元以上10万元以下罚款，一年内暂停承接房屋安全鉴定业务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C1659900A070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出具虚假、错误检测、鉴定报告致使工程重大结构安全隐患未被发现的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处10万元罚款，吊销资质证书。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对建设、施工、监理等单位明示或者暗示检测机构出具虚假检测报告，篡改或者伪造检测报告的行为进行处罚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《建设工程质量检测管理办法》第四十七条第一款第（五）（六）项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责令改正，处3万元以上6.5万元以下罚款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不纳入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不公示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责令改正，处6.5万元以上10万元以下罚款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违法情节严重并造成危害后果的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对未取得资质等级证书或者超越资质等级从事房地产开发经营的行为进行处罚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《房地产开发企业资质管理规定》第三条第二款、第十五条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《商品房销售管理办法》第三十七条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《城市房地产开发经营管理条例》第九条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《房地产开发企业资质管理规定》第十六条、第十七条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《商品房销售管理办法》第三十七条</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《城市房地产开发经营管理条例》第三十四条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C1665500A010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主动报告违法行为并承担责任的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责令限期改正，处以5万元以上8万元以下的罚款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C1665500A020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在受理投诉、举报或执法调查、资质核查等过程中发现违法行为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责令限期改正，处以8万元以上10万元以下的罚款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对企业在商品住宅销售中不按照规定发放《住宅质量保证书》和《住宅使用说明书》的行为进行处罚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《北京市建设工程质量条例》第五十五条第一款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《北京市建设工程质量条例》第九十七条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color w:val="000000"/>
                <w:sz w:val="18"/>
                <w:szCs w:val="18"/>
                <w:u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主动改正的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责令改正期限内改正的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C1663700C030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逾期未改正的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对检测人员同时受聘于两家或者两家以上检测机构的行为进行处罚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《建设工程质量检测管理办法》第三十一条第一款（一）</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CC1674200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对检测人员违反工程建设强制性标准进行检测的行为进行处罚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《建设工程质量检测管理办法》第三十一条第一款（二）</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对检测人员出具虚假的检测数据的行为进行处罚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w:t>
            </w:r>
            <w:r>
              <w:rPr>
                <w:rFonts w:hint="eastAsia" w:ascii="宋体" w:hAnsi="宋体" w:cs="宋体"/>
                <w:i w:val="0"/>
                <w:color w:val="000000"/>
                <w:kern w:val="0"/>
                <w:sz w:val="18"/>
                <w:szCs w:val="18"/>
                <w:u w:val="none"/>
                <w:lang w:val="en-US" w:eastAsia="zh-CN" w:bidi="ar"/>
              </w:rPr>
              <w:t>4</w:t>
            </w:r>
            <w:r>
              <w:rPr>
                <w:rFonts w:hint="eastAsia" w:ascii="宋体" w:hAnsi="宋体" w:eastAsia="宋体" w:cs="宋体"/>
                <w:i w:val="0"/>
                <w:color w:val="000000"/>
                <w:kern w:val="0"/>
                <w:sz w:val="18"/>
                <w:szCs w:val="18"/>
                <w:u w:val="none"/>
                <w:lang w:val="en-US" w:eastAsia="zh-CN" w:bidi="ar"/>
              </w:rPr>
              <w:t>00 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对检测人员违反工程建设强制性标准进行结论判定或者出具虚假判定结论的行为进行处罚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《建设工程质量检测管理办法》第三十一条第一款（四）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《建设工程质量检测管理办法》第四十四条第二款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违法情节较轻的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违法情节一般的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责令改正，处1万元以上2万元以下罚款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对检测机构未按照《建设工程质量检测管理办法》规定办理检测机构资质证书变更的行为进行处罚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C1673900 -1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C16739000</w:t>
            </w:r>
            <w:r>
              <w:rPr>
                <w:rFonts w:hint="eastAsia" w:ascii="宋体" w:hAnsi="宋体" w:cs="宋体"/>
                <w:i w:val="0"/>
                <w:color w:val="000000"/>
                <w:kern w:val="0"/>
                <w:sz w:val="18"/>
                <w:szCs w:val="18"/>
                <w:u w:val="none"/>
                <w:lang w:val="en-US" w:eastAsia="zh-CN" w:bidi="ar"/>
              </w:rPr>
              <w:t>B</w:t>
            </w:r>
            <w:r>
              <w:rPr>
                <w:rFonts w:hint="eastAsia" w:ascii="宋体" w:hAnsi="宋体" w:eastAsia="宋体" w:cs="宋体"/>
                <w:i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处5000元以上7000元以下罚款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处7000元以上10000元以下罚款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对检测机构未按照《建设工程质量检测管理办法》规定向资质许可机关提出资质重新核定申请的行为进行处罚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《建设工程质量检测管理办法》第四十二条第二款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处1万元以上2万元以下罚款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处2万元以上3万元以下罚款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处3万元罚款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对检测机构与所检测建设工程相关的建设、施工、监理单位，以及建筑材料、建筑构配件和设备供应单位有隶属关系或者其他利害关系的行为进行处罚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C1673700B030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对检测机构推荐或者监制建筑材料、建筑构配件和设备的行为进行处罚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《建设工程质量检测管理办法》第十五条第二款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对检测机构未建立并使用信息化管理系统对检测活动进行管理的行为进行处罚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《建设工程质量检测管理办法》第四十五条第一款第（七）项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C1673200B030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对检测机构不满足跨省、自治区、直辖市承担检测业务的要求开展相应建设工程质量检测活动的行为进行处罚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《建设工程质量检测管理办法》第二十九条第一款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《建设工程质量检测管理办法》第四十五条第一款第（八）项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C1673300B030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C1673400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对检测机构接受监督检查时不如实提供有关资料、不按照要求参加能力验证和比对试验，或者拒绝、阻碍监督检查的行为进行处罚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《建设工程安全生产管理条例》第四十五条第一款第（九）项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违法情节较轻的</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责令改正，处1万元以上3万元以下罚款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C1673400B030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对建设单位未将建设工程质量检测费用列入工程概预算并单独列支的行为进行处罚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《建设工程质量检测管理办法》第十七条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C1673800B050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对建设或监理单位未按照规定实施见证的行为进行处罚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《建设工程质量检测管理办法》第十八条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《建设工程质量检测管理办法》第四十七条第一款第（三）项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责令改正，处3万元以上5万元以下罚款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责令改正，处5万元以上8万元以下罚款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责令改正，处8万元以上10万元以下罚款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C1674000B040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C1674000B050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工程质量检测机构违反《建设工程抗震管理条例》出具虚假的检测数据或者检测报告的行为进行处罚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《建设工程抗震管理条例》第十八条第三款、第三十条第一款（六）项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《建设工程抗震管理条例》第四十七条第二款、第四十三条第二款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责令改正，处10万元以上20万元以下的罚款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责令改正，处20万元以上30万元以下的罚款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C1673000A030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责令改正，处30万元罚款，吊销资质证书和负有直接责任的注册执业人员的执业资格证书，其直接负责的主管人员和其他直接责任人员终身禁止从事工程质量检测业务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对建设工程质量检测单位出具虚假的检测数据或者检测报告的行为进行处罚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《建设工程质量检测管理办法》三十条第一款（六）项</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《建设工程质量检测管理办法》第四十三条第一款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《北京市建设工程质量条例》第七十六条第二款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违法情节较轻,未造成危害后果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C1673500B030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C1673500B050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对检测机构未建立建设工程过程数据和结果数据、检测影像资料及检测报告记录与留存制度的行为进行处罚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《建设工程质量检测管理办法》第二十二条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《建设工程质量检测管理办法》第四十三条第一款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违法情节较轻,未造成危害后果</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责令改正，处5万元以上7万元以下罚款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责令改正，处7万元以上10万元以下罚款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违法情节严重，未造成危害后果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C1673100B040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责令改正，处10万元以上15万元以下罚款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C1673100B050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责令改正，处15万元以上20万元以下罚款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34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检测机构未按照有关法律法规、工程建设标准开展检测、鉴定活动的行为进行处罚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《建设工程质量检测管理办法》第三十条第一款（四）</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《北京市建设工程质量条例》第十四条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《建设工程质量检测管理办法》第四十四条第一款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《北京市建设工程质量条例》第七十六条第一款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5组（份）以下未按照有关法律法规、工程建设强制性标准进行检测、鉴定且检测、鉴定项目不涉及结构安全的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责令限期改正，并处5万元以上7.5万元以下的罚款，暂停承接相关业务3个月至6个月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5组（份）以上未按照有关法律法规、工程建设强制性标准进行检测、鉴定且检测、鉴定项目不涉及结构安全的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责令限期改正，并处7.5万元以上10万元以下的罚款，暂停承接相关业务3个月至6个月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5组以上未按照国家有关工程建设强制性标准检测且检测项目不涉及结构安全的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责令限期改正，并处10万元罚款，暂停承接相关业务3个月至6个月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未按照有关法律法规、工程建设强制性标准进行检测、鉴定且检测、鉴定项目涉及结构安全的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责令限期改正，并处10万元以上15万元以下的罚款，暂停承接相关业务6个月至9个月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C1674700A050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未按照国家有关工程建设强制性标准检测检测且检测项目涉及结构安全的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责令限期改正，并处15万元以上20万元以下罚款，暂停承接相关业务6个月至9个月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C1661900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对涂改、出租、出借、转让、出卖资质证书的行为进行处罚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《房地产开发企业资质管理规定》第十八条第（二）项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C1661900B030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18"/>
                <w:szCs w:val="18"/>
                <w:u w:val="none"/>
                <w:lang w:val="en-US" w:eastAsia="zh-CN" w:bidi="ar"/>
              </w:rPr>
              <w:t>C1674600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对隐瞒真实情况、弄虚作假骗取资质证书的行为进行处罚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《房地产开发企业资质管理规定》第十八条第（一）项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市区共有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违法情节较轻的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处1万元以上1.5万元以下罚款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违法情节一般的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处1.5万元以上2.5万元以下罚款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C1674600B030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处2.5万元以上3万元以下罚款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物业服务人未按规定将物业服务合同报街道办事处、乡镇人民政府、区住房和城乡建设或者房屋主管部门备案的行为进行处罚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《北京市物业管理条例》第六十三条第三款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《北京市物业管理条例》第九十一条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责令7日内改正，警告</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C1620300B020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物业服务企业项目负责人未按时报到的行为进行处罚</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《北京市物业管理条例》第六十六条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 《北京市物业管理</w:t>
            </w:r>
            <w:bookmarkStart w:id="0" w:name="_GoBack"/>
            <w:bookmarkEnd w:id="0"/>
            <w:r>
              <w:rPr>
                <w:rFonts w:hint="eastAsia" w:ascii="宋体" w:hAnsi="宋体" w:eastAsia="宋体" w:cs="宋体"/>
                <w:i w:val="0"/>
                <w:color w:val="000000"/>
                <w:kern w:val="0"/>
                <w:sz w:val="18"/>
                <w:szCs w:val="18"/>
                <w:u w:val="none"/>
                <w:lang w:val="en-US" w:eastAsia="zh-CN" w:bidi="ar"/>
              </w:rPr>
              <w:t>条例》第九十三条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街道乡镇独有</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发现违法行为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责令7日内改正</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责令改正限期内改正违法行为（违法行为轻微并及时纠正，没有造成危害后果）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不予行政处罚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责令期满后7日内改正违法行为的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处5000元以上7500元以下罚款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一般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C1674800B020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责令期满后7日以上改正违法行为或违法情节严重的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处7500元以上10000元以下罚款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严重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6个月</w:t>
            </w:r>
          </w:p>
        </w:tc>
      </w:tr>
    </w:tbl>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sectPr>
          <w:pgSz w:w="16838" w:h="11906" w:orient="landscape"/>
          <w:pgMar w:top="1588" w:right="1701" w:bottom="1474" w:left="1701" w:header="851" w:footer="1588" w:gutter="0"/>
          <w:pgNumType w:fmt="numberInDash"/>
          <w:cols w:space="720" w:num="1"/>
          <w:docGrid w:linePitch="312" w:charSpace="0"/>
        </w:sectPr>
      </w:pP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r>
        <w:rPr>
          <w:rFonts w:hint="eastAsia" w:ascii="仿宋_GB2312" w:eastAsia="仿宋_GB2312"/>
          <w:kern w:val="32"/>
          <w:sz w:val="32"/>
          <w:szCs w:val="32"/>
        </w:rPr>
        <w:t xml:space="preserve">   </w:t>
      </w: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20" w:hanging="1920" w:hangingChars="600"/>
        <w:rPr>
          <w:rFonts w:hint="eastAsia" w:ascii="仿宋_GB2312" w:eastAsia="仿宋_GB2312"/>
          <w:kern w:val="32"/>
          <w:sz w:val="32"/>
          <w:szCs w:val="32"/>
        </w:rPr>
      </w:pPr>
    </w:p>
    <w:p>
      <w:pPr>
        <w:spacing w:line="360" w:lineRule="exact"/>
        <w:ind w:left="1918" w:leftChars="304" w:hanging="1280" w:hangingChars="400"/>
        <w:rPr>
          <w:rFonts w:hint="eastAsia" w:ascii="仿宋_GB2312" w:eastAsia="仿宋_GB2312"/>
          <w:kern w:val="32"/>
          <w:sz w:val="32"/>
          <w:szCs w:val="32"/>
        </w:rPr>
      </w:pPr>
      <w:r>
        <w:rPr>
          <w:rFonts w:hint="eastAsia" w:ascii="仿宋_GB2312" w:eastAsia="仿宋_GB2312"/>
          <w:kern w:val="32"/>
          <w:sz w:val="32"/>
          <w:szCs w:val="32"/>
        </w:rPr>
        <w:t>（此件公开</w:t>
      </w:r>
      <w:r>
        <w:rPr>
          <w:rFonts w:hint="eastAsia" w:ascii="仿宋_GB2312" w:eastAsia="仿宋_GB2312"/>
          <w:kern w:val="32"/>
          <w:sz w:val="32"/>
          <w:szCs w:val="32"/>
          <w:lang w:eastAsia="zh-CN"/>
        </w:rPr>
        <w:t>发布</w:t>
      </w:r>
      <w:r>
        <w:rPr>
          <w:rFonts w:hint="eastAsia" w:ascii="仿宋_GB2312" w:eastAsia="仿宋_GB2312"/>
          <w:kern w:val="32"/>
          <w:sz w:val="32"/>
          <w:szCs w:val="32"/>
        </w:rPr>
        <w:t>）</w:t>
      </w:r>
    </w:p>
    <w:p>
      <w:pPr>
        <w:tabs>
          <w:tab w:val="left" w:pos="7920"/>
          <w:tab w:val="left" w:pos="8100"/>
          <w:tab w:val="left" w:pos="8280"/>
        </w:tabs>
        <w:spacing w:line="500" w:lineRule="exact"/>
        <w:ind w:firstLine="280" w:firstLineChars="100"/>
        <w:rPr>
          <w:rFonts w:hint="eastAsia" w:ascii="仿宋_GB2312" w:eastAsia="仿宋_GB2312"/>
          <w:kern w:val="32"/>
          <w:sz w:val="28"/>
          <w:szCs w:val="28"/>
        </w:rPr>
      </w:pPr>
      <w:r>
        <w:rPr>
          <w:rFonts w:hint="eastAsia" w:ascii="宋体" w:hAnsi="宋体" w:cs="宋体"/>
          <w:kern w:val="0"/>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22860</wp:posOffset>
                </wp:positionV>
                <wp:extent cx="5600700" cy="0"/>
                <wp:effectExtent l="0" t="0" r="0" b="0"/>
                <wp:wrapNone/>
                <wp:docPr id="3" name="直线 53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4" o:spid="_x0000_s1026" o:spt="20" style="position:absolute;left:0pt;margin-left:0pt;margin-top:1.8pt;height:0pt;width:441pt;z-index:251661312;mso-width-relative:page;mso-height-relative:page;" filled="f" stroked="t" coordsize="21600,21600" o:gfxdata="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WceS/SAAAA&#10;BAEAAA8AAAAAAAAAAQAgAAAAIgAAAGRycy9kb3ducmV2LnhtbFBLAQIUABQAAAAIAIdO4kDoM1fW&#10;6gEAAN0DAAAOAAAAAAAAAAEAIAAAACEBAABkcnMvZTJvRG9jLnhtbFBLBQYAAAAABgAGAFkBAAB9&#10;BQAAAAA=&#10;">
                <v:fill on="f" focussize="0,0"/>
                <v:stroke color="#000000" joinstyle="round"/>
                <v:imagedata o:title=""/>
                <o:lock v:ext="edit" aspectratio="f"/>
              </v:line>
            </w:pict>
          </mc:Fallback>
        </mc:AlternateContent>
      </w:r>
      <w:r>
        <w:rPr>
          <w:rFonts w:hint="eastAsia" w:ascii="仿宋_GB2312" w:eastAsia="仿宋_GB2312"/>
          <w:kern w:val="32"/>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377825</wp:posOffset>
                </wp:positionV>
                <wp:extent cx="5600700" cy="0"/>
                <wp:effectExtent l="0" t="0" r="0" b="0"/>
                <wp:wrapNone/>
                <wp:docPr id="2" name="直线 53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33" o:spid="_x0000_s1026" o:spt="20" style="position:absolute;left:0pt;margin-left:0pt;margin-top:29.75pt;height:0pt;width:441pt;z-index:251660288;mso-width-relative:page;mso-height-relative:page;" filled="f" stroked="t" coordsize="21600,21600" o:gfxdata="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p1rnX0wAA&#10;AAYBAAAPAAAAAAAAAAEAIAAAACIAAABkcnMvZG93bnJldi54bWxQSwECFAAUAAAACACHTuJAmntT&#10;G+oBAADdAwAADgAAAAAAAAABACAAAAAiAQAAZHJzL2Uyb0RvYy54bWxQSwUGAAAAAAYABgBZAQAA&#10;fgUAAAAA&#10;">
                <v:fill on="f" focussize="0,0"/>
                <v:stroke color="#000000" joinstyle="round"/>
                <v:imagedata o:title=""/>
                <o:lock v:ext="edit" aspectratio="f"/>
              </v:line>
            </w:pict>
          </mc:Fallback>
        </mc:AlternateContent>
      </w:r>
      <w:r>
        <w:rPr>
          <w:rFonts w:hint="eastAsia" w:ascii="仿宋_GB2312" w:eastAsia="仿宋_GB2312"/>
          <w:kern w:val="32"/>
          <w:sz w:val="28"/>
          <w:szCs w:val="28"/>
        </w:rPr>
        <w:t>北京市住房和城乡建设委员会办公室</w:t>
      </w:r>
      <w:r>
        <w:rPr>
          <w:rFonts w:hint="eastAsia" w:ascii="仿宋_GB2312" w:eastAsia="仿宋_GB2312"/>
          <w:sz w:val="28"/>
          <w:szCs w:val="28"/>
        </w:rPr>
        <w:t xml:space="preserve">        </w:t>
      </w:r>
      <w:r>
        <w:rPr>
          <w:rFonts w:hint="eastAsia" w:ascii="仿宋_GB2312" w:eastAsia="仿宋_GB2312"/>
          <w:kern w:val="32"/>
          <w:sz w:val="28"/>
          <w:szCs w:val="28"/>
        </w:rPr>
        <w:t>202</w:t>
      </w:r>
      <w:r>
        <w:rPr>
          <w:rFonts w:hint="eastAsia" w:ascii="仿宋_GB2312" w:eastAsia="仿宋_GB2312"/>
          <w:kern w:val="32"/>
          <w:sz w:val="28"/>
          <w:szCs w:val="28"/>
          <w:lang w:val="en-US" w:eastAsia="zh-CN"/>
        </w:rPr>
        <w:t>3</w:t>
      </w:r>
      <w:r>
        <w:rPr>
          <w:rFonts w:hint="eastAsia" w:ascii="仿宋_GB2312" w:eastAsia="仿宋_GB2312"/>
          <w:kern w:val="32"/>
          <w:sz w:val="28"/>
          <w:szCs w:val="28"/>
        </w:rPr>
        <w:t>年</w:t>
      </w:r>
      <w:r>
        <w:rPr>
          <w:rFonts w:hint="eastAsia" w:ascii="仿宋_GB2312" w:eastAsia="仿宋_GB2312"/>
          <w:kern w:val="32"/>
          <w:sz w:val="28"/>
          <w:szCs w:val="28"/>
          <w:lang w:val="en-US" w:eastAsia="zh-CN"/>
        </w:rPr>
        <w:t>10</w:t>
      </w:r>
      <w:r>
        <w:rPr>
          <w:rFonts w:hint="eastAsia" w:ascii="仿宋_GB2312" w:eastAsia="仿宋_GB2312"/>
          <w:kern w:val="32"/>
          <w:sz w:val="28"/>
          <w:szCs w:val="28"/>
        </w:rPr>
        <w:t>月</w:t>
      </w:r>
      <w:r>
        <w:rPr>
          <w:rFonts w:hint="eastAsia" w:ascii="仿宋_GB2312" w:eastAsia="仿宋_GB2312"/>
          <w:kern w:val="32"/>
          <w:sz w:val="28"/>
          <w:szCs w:val="28"/>
          <w:lang w:val="en-US" w:eastAsia="zh-CN"/>
        </w:rPr>
        <w:t>23</w:t>
      </w:r>
      <w:r>
        <w:rPr>
          <w:rFonts w:hint="eastAsia" w:ascii="仿宋_GB2312" w:eastAsia="仿宋_GB2312"/>
          <w:kern w:val="32"/>
          <w:sz w:val="28"/>
          <w:szCs w:val="28"/>
        </w:rPr>
        <w:t>日印发</w:t>
      </w:r>
    </w:p>
    <w:sectPr>
      <w:pgSz w:w="11906" w:h="16838"/>
      <w:pgMar w:top="1701" w:right="1474" w:bottom="1701" w:left="1588" w:header="851" w:footer="1588"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1" w:fontKey="{79965C61-E021-406D-A8D9-0B220F657C4C}"/>
  </w:font>
  <w:font w:name="方正小标宋简体">
    <w:panose1 w:val="02000000000000000000"/>
    <w:charset w:val="86"/>
    <w:family w:val="auto"/>
    <w:pitch w:val="default"/>
    <w:sig w:usb0="00000001" w:usb1="08000000" w:usb2="00000000" w:usb3="00000000" w:csb0="00040000" w:csb1="00000000"/>
    <w:embedRegular r:id="rId2" w:fontKey="{9ADB0299-7599-45F8-8720-6D57B914ADD2}"/>
  </w:font>
  <w:font w:name="楷体_GB2312">
    <w:panose1 w:val="02010609030101010101"/>
    <w:charset w:val="86"/>
    <w:family w:val="modern"/>
    <w:pitch w:val="default"/>
    <w:sig w:usb0="00000001" w:usb1="080E0000" w:usb2="00000000" w:usb3="00000000" w:csb0="00040000" w:csb1="00000000"/>
    <w:embedRegular r:id="rId3" w:fontKey="{2441C163-1E4E-4664-B332-6139CEAD7415}"/>
  </w:font>
  <w:font w:name="CESI黑体-GB2312">
    <w:altName w:val="黑体"/>
    <w:panose1 w:val="02000500000000000000"/>
    <w:charset w:val="86"/>
    <w:family w:val="auto"/>
    <w:pitch w:val="default"/>
    <w:sig w:usb0="00000000" w:usb1="00000000" w:usb2="00000012" w:usb3="00000000" w:csb0="0004000F" w:csb1="00000000"/>
    <w:embedRegular r:id="rId4" w:fontKey="{CF5E78E0-4B00-44FE-A2C0-1D98F50BD4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ind w:left="420" w:leftChars="200" w:right="420" w:rightChars="200"/>
      <w:rPr>
        <w:rStyle w:val="16"/>
        <w:rFonts w:ascii="宋体" w:hAnsi="宋体"/>
        <w:sz w:val="28"/>
        <w:szCs w:val="28"/>
      </w:rPr>
    </w:pPr>
    <w:r>
      <w:rPr>
        <w:rStyle w:val="16"/>
        <w:rFonts w:ascii="宋体" w:hAnsi="宋体"/>
        <w:sz w:val="28"/>
        <w:szCs w:val="28"/>
      </w:rPr>
      <w:fldChar w:fldCharType="begin"/>
    </w:r>
    <w:r>
      <w:rPr>
        <w:rStyle w:val="16"/>
        <w:rFonts w:ascii="宋体" w:hAnsi="宋体"/>
        <w:sz w:val="28"/>
        <w:szCs w:val="28"/>
      </w:rPr>
      <w:instrText xml:space="preserve">PAGE  </w:instrText>
    </w:r>
    <w:r>
      <w:rPr>
        <w:rStyle w:val="16"/>
        <w:rFonts w:ascii="宋体" w:hAnsi="宋体"/>
        <w:sz w:val="28"/>
        <w:szCs w:val="28"/>
      </w:rPr>
      <w:fldChar w:fldCharType="separate"/>
    </w:r>
    <w:r>
      <w:rPr>
        <w:rStyle w:val="16"/>
        <w:rFonts w:ascii="宋体" w:hAnsi="宋体"/>
        <w:sz w:val="28"/>
        <w:szCs w:val="28"/>
      </w:rPr>
      <w:t>- 2 -</w:t>
    </w:r>
    <w:r>
      <w:rPr>
        <w:rStyle w:val="16"/>
        <w:rFonts w:ascii="宋体" w:hAnsi="宋体"/>
        <w:sz w:val="28"/>
        <w:szCs w:val="28"/>
      </w:rPr>
      <w:fldChar w:fldCharType="end"/>
    </w:r>
  </w:p>
  <w:p>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3MTJiOGU5ZmMwMjEyOWM3MjQxMmJjODU4ZjNlNWIifQ=="/>
    <w:docVar w:name="KSO_WPS_MARK_KEY" w:val="27a48104-7c0e-4ca2-b4dc-10047e4b638a"/>
  </w:docVars>
  <w:rsids>
    <w:rsidRoot w:val="00352EE9"/>
    <w:rsid w:val="000221F0"/>
    <w:rsid w:val="00027416"/>
    <w:rsid w:val="000669C5"/>
    <w:rsid w:val="00077581"/>
    <w:rsid w:val="00090270"/>
    <w:rsid w:val="000B19B4"/>
    <w:rsid w:val="000B25D9"/>
    <w:rsid w:val="000E1BD7"/>
    <w:rsid w:val="000F3449"/>
    <w:rsid w:val="00172D94"/>
    <w:rsid w:val="001B7849"/>
    <w:rsid w:val="00286978"/>
    <w:rsid w:val="002A0860"/>
    <w:rsid w:val="002C095A"/>
    <w:rsid w:val="002E082D"/>
    <w:rsid w:val="002E619B"/>
    <w:rsid w:val="00300679"/>
    <w:rsid w:val="00304F79"/>
    <w:rsid w:val="003229F6"/>
    <w:rsid w:val="00327E54"/>
    <w:rsid w:val="00333AD9"/>
    <w:rsid w:val="0033483C"/>
    <w:rsid w:val="00352EE9"/>
    <w:rsid w:val="003677AB"/>
    <w:rsid w:val="0038415A"/>
    <w:rsid w:val="003B45B2"/>
    <w:rsid w:val="003D5A98"/>
    <w:rsid w:val="004047D8"/>
    <w:rsid w:val="00492736"/>
    <w:rsid w:val="004A3D47"/>
    <w:rsid w:val="004B3426"/>
    <w:rsid w:val="004C7FC3"/>
    <w:rsid w:val="004E3786"/>
    <w:rsid w:val="004F1EF3"/>
    <w:rsid w:val="0051412A"/>
    <w:rsid w:val="005300ED"/>
    <w:rsid w:val="00540E6B"/>
    <w:rsid w:val="005F086B"/>
    <w:rsid w:val="00616B00"/>
    <w:rsid w:val="00624203"/>
    <w:rsid w:val="00626CCA"/>
    <w:rsid w:val="006309FF"/>
    <w:rsid w:val="00635158"/>
    <w:rsid w:val="006611AB"/>
    <w:rsid w:val="006B2F19"/>
    <w:rsid w:val="00702173"/>
    <w:rsid w:val="00705580"/>
    <w:rsid w:val="0071529B"/>
    <w:rsid w:val="007A6D21"/>
    <w:rsid w:val="007A7D90"/>
    <w:rsid w:val="007D0CEC"/>
    <w:rsid w:val="00803706"/>
    <w:rsid w:val="008603CF"/>
    <w:rsid w:val="008A0020"/>
    <w:rsid w:val="00901BD0"/>
    <w:rsid w:val="00927A5B"/>
    <w:rsid w:val="00950805"/>
    <w:rsid w:val="009566C7"/>
    <w:rsid w:val="00974237"/>
    <w:rsid w:val="00977A61"/>
    <w:rsid w:val="009B7501"/>
    <w:rsid w:val="009D08FF"/>
    <w:rsid w:val="00A03017"/>
    <w:rsid w:val="00A14CC3"/>
    <w:rsid w:val="00A46CFD"/>
    <w:rsid w:val="00A64073"/>
    <w:rsid w:val="00AA66C1"/>
    <w:rsid w:val="00AB0E20"/>
    <w:rsid w:val="00AD5848"/>
    <w:rsid w:val="00B120FB"/>
    <w:rsid w:val="00B94D52"/>
    <w:rsid w:val="00BB6BA0"/>
    <w:rsid w:val="00BB745B"/>
    <w:rsid w:val="00BD78AF"/>
    <w:rsid w:val="00C43AD6"/>
    <w:rsid w:val="00C5518F"/>
    <w:rsid w:val="00C728E5"/>
    <w:rsid w:val="00C777C3"/>
    <w:rsid w:val="00C9285D"/>
    <w:rsid w:val="00CE1F76"/>
    <w:rsid w:val="00D06F54"/>
    <w:rsid w:val="00D147CE"/>
    <w:rsid w:val="00D30F4A"/>
    <w:rsid w:val="00D4169E"/>
    <w:rsid w:val="00D57679"/>
    <w:rsid w:val="00DF44B0"/>
    <w:rsid w:val="00E11AA4"/>
    <w:rsid w:val="00E159C4"/>
    <w:rsid w:val="00E54075"/>
    <w:rsid w:val="00E655A9"/>
    <w:rsid w:val="00E87368"/>
    <w:rsid w:val="00F078C1"/>
    <w:rsid w:val="00F26454"/>
    <w:rsid w:val="00FF2142"/>
    <w:rsid w:val="35353D9E"/>
    <w:rsid w:val="3EFAD028"/>
    <w:rsid w:val="66DAC01F"/>
    <w:rsid w:val="6CCBC88B"/>
    <w:rsid w:val="6FFFE75C"/>
    <w:rsid w:val="AFBC7BDA"/>
    <w:rsid w:val="EFD37E5A"/>
    <w:rsid w:val="F962F258"/>
    <w:rsid w:val="FBB6326F"/>
    <w:rsid w:val="FBBDAC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jc w:val="center"/>
    </w:pPr>
    <w:rPr>
      <w:sz w:val="24"/>
      <w:szCs w:val="20"/>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Date"/>
    <w:basedOn w:val="1"/>
    <w:next w:val="1"/>
    <w:qFormat/>
    <w:uiPriority w:val="0"/>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Body Text 2"/>
    <w:basedOn w:val="1"/>
    <w:qFormat/>
    <w:uiPriority w:val="0"/>
    <w:pPr>
      <w:spacing w:after="120" w:line="480" w:lineRule="auto"/>
    </w:pPr>
  </w:style>
  <w:style w:type="paragraph" w:styleId="12">
    <w:name w:val="Normal (Web)"/>
    <w:basedOn w:val="1"/>
    <w:qFormat/>
    <w:uiPriority w:val="0"/>
    <w:pPr>
      <w:widowControl/>
      <w:spacing w:before="100" w:beforeAutospacing="1" w:after="100" w:afterAutospacing="1"/>
      <w:jc w:val="left"/>
    </w:pPr>
    <w:rPr>
      <w:rFonts w:ascii="宋体" w:hAnsi="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paragraph" w:customStyle="1" w:styleId="17">
    <w:name w:val="表格内容"/>
    <w:basedOn w:val="1"/>
    <w:qFormat/>
    <w:uiPriority w:val="0"/>
    <w:pPr>
      <w:suppressLineNumbers/>
      <w:suppressAutoHyphens/>
    </w:pPr>
    <w:rPr>
      <w:szCs w:val="20"/>
    </w:rPr>
  </w:style>
  <w:style w:type="paragraph" w:customStyle="1" w:styleId="18">
    <w:name w:val=" 字元 字元 Char Char"/>
    <w:basedOn w:val="2"/>
    <w:qFormat/>
    <w:uiPriority w:val="0"/>
    <w:pPr>
      <w:adjustRightInd w:val="0"/>
      <w:spacing w:line="436" w:lineRule="exact"/>
      <w:ind w:left="357"/>
      <w:jc w:val="left"/>
      <w:outlineLvl w:val="3"/>
    </w:pPr>
    <w:rPr>
      <w:rFonts w:ascii="Tahoma" w:hAnsi="Tahoma"/>
      <w:b/>
      <w:sz w:val="24"/>
    </w:rPr>
  </w:style>
  <w:style w:type="paragraph" w:customStyle="1" w:styleId="19">
    <w:name w:val="标题1"/>
    <w:basedOn w:val="1"/>
    <w:next w:val="3"/>
    <w:qFormat/>
    <w:uiPriority w:val="0"/>
    <w:pPr>
      <w:keepNext/>
      <w:keepLines/>
      <w:suppressAutoHyphens/>
      <w:spacing w:before="240" w:after="60"/>
    </w:pPr>
    <w:rPr>
      <w:rFonts w:ascii="Arial" w:hAnsi="Arial" w:cs="Tahoma"/>
      <w:b/>
      <w:bCs/>
      <w:sz w:val="32"/>
      <w:szCs w:val="32"/>
    </w:rPr>
  </w:style>
  <w:style w:type="paragraph" w:customStyle="1" w:styleId="20">
    <w:name w:val="普通文字"/>
    <w:basedOn w:val="1"/>
    <w:qFormat/>
    <w:uiPriority w:val="0"/>
    <w:rPr>
      <w:rFonts w:hint="eastAsia" w:ascii="宋体" w:hAnsi="宋体" w:eastAsia="仿宋_GB2312"/>
      <w:kern w:val="1"/>
      <w:sz w:val="32"/>
      <w:szCs w:val="20"/>
    </w:rPr>
  </w:style>
  <w:style w:type="paragraph" w:customStyle="1" w:styleId="21">
    <w:name w:val="WW-普通文字"/>
    <w:basedOn w:val="1"/>
    <w:qFormat/>
    <w:uiPriority w:val="0"/>
    <w:pPr>
      <w:suppressAutoHyphens/>
    </w:pPr>
    <w:rPr>
      <w:rFonts w:hint="eastAsia" w:ascii="宋体" w:hAnsi="宋体" w:cs="Tahoma"/>
      <w:kern w:val="1"/>
      <w:szCs w:val="20"/>
    </w:rPr>
  </w:style>
  <w:style w:type="paragraph" w:customStyle="1" w:styleId="22">
    <w:name w:val=" Char"/>
    <w:basedOn w:val="2"/>
    <w:qFormat/>
    <w:uiPriority w:val="0"/>
    <w:pPr>
      <w:adjustRightInd w:val="0"/>
      <w:spacing w:line="436" w:lineRule="exact"/>
      <w:ind w:left="357"/>
      <w:jc w:val="left"/>
      <w:outlineLvl w:val="3"/>
    </w:pPr>
    <w:rPr>
      <w:rFonts w:ascii="Tahoma" w:hAnsi="Tahoma"/>
      <w:b/>
      <w:sz w:val="24"/>
    </w:rPr>
  </w:style>
  <w:style w:type="paragraph" w:customStyle="1" w:styleId="23">
    <w:name w:val="Char Char Char Char"/>
    <w:basedOn w:val="1"/>
    <w:qFormat/>
    <w:uiPriority w:val="0"/>
    <w:pPr>
      <w:adjustRightInd w:val="0"/>
      <w:spacing w:line="360" w:lineRule="auto"/>
    </w:pPr>
    <w:rPr>
      <w:kern w:val="0"/>
      <w:sz w:val="24"/>
      <w:szCs w:val="20"/>
    </w:rPr>
  </w:style>
  <w:style w:type="paragraph" w:customStyle="1" w:styleId="24">
    <w:name w:val="WW-日期1"/>
    <w:basedOn w:val="1"/>
    <w:qFormat/>
    <w:uiPriority w:val="0"/>
    <w:rPr>
      <w:rFonts w:hint="eastAsia"/>
      <w:spacing w:val="20"/>
      <w:kern w:val="1"/>
      <w:sz w:val="32"/>
      <w:szCs w:val="20"/>
    </w:rPr>
  </w:style>
  <w:style w:type="paragraph" w:styleId="25">
    <w:name w:val="List Paragraph"/>
    <w:basedOn w:val="1"/>
    <w:qFormat/>
    <w:uiPriority w:val="0"/>
    <w:pPr>
      <w:ind w:firstLine="420" w:firstLineChars="200"/>
    </w:pPr>
    <w:rPr>
      <w:rFonts w:ascii="Calibri" w:hAnsi="Calibri"/>
      <w:szCs w:val="20"/>
    </w:rPr>
  </w:style>
  <w:style w:type="paragraph" w:customStyle="1" w:styleId="26">
    <w:name w:val="Char Char Char"/>
    <w:basedOn w:val="2"/>
    <w:qFormat/>
    <w:uiPriority w:val="0"/>
    <w:pPr>
      <w:adjustRightInd w:val="0"/>
      <w:spacing w:line="436" w:lineRule="exact"/>
      <w:ind w:left="357"/>
      <w:jc w:val="left"/>
      <w:outlineLvl w:val="3"/>
    </w:pPr>
    <w:rPr>
      <w:rFonts w:ascii="Calibri" w:hAnsi="Calibr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SZAQ</Company>
  <Pages>26</Pages>
  <Words>11311</Words>
  <Characters>13832</Characters>
  <Lines>1</Lines>
  <Paragraphs>1</Paragraphs>
  <TotalTime>1</TotalTime>
  <ScaleCrop>false</ScaleCrop>
  <LinksUpToDate>false</LinksUpToDate>
  <CharactersWithSpaces>14083</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2018-06-17T08:51:00Z</dcterms:created>
  <dc:creator>ABD</dc:creator>
  <cp:lastModifiedBy>谢梦琦</cp:lastModifiedBy>
  <cp:lastPrinted>2023-10-23T23:15:00Z</cp:lastPrinted>
  <dcterms:modified xsi:type="dcterms:W3CDTF">2025-02-28T06:54:06Z</dcterms:modified>
  <dc:title>地铁应急抢险大队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6C2E53013E7B415C95D7336292A6191A_12</vt:lpwstr>
  </property>
</Properties>
</file>