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营利性文化艺术类校外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培训机构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应建立的管理工作制度或方案内容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一、运行管理制度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（一）培训机构运行管理规定或规范（包括：从业人员基本信息、作息时间及人员录用、公示、考核、奖惩等涉及人员管理方面的规定）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（二）培训大纲、教材及培训计划或方案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（三）培训质量评估或考核规定或规范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（四）培训设施设备维护管理工作规定或规范（包括：培训场地、设施设备等涉及培训保障方面的规定）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（五）党组织建设制度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二、收费标准及收退费管理制度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（一）收费管理制度（包括：专用账户管理、收费明细及标准等涉及收费方面的工作规范）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（二）退费管理制度（包括：退费的范围、标准及流程，退费问题及矛盾解决方案等涉及退费方面的工作规范）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三、消防、应急等安全管理制度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（一）安全生产工作制度或方案（包括：安全教育和培训、安全隐患排查和治理、消防应急设施设备的运行维护、安全责任落实、安全责任及奖惩等涉及安全预防方面的工作制度或方案）</w:t>
      </w:r>
    </w:p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（二）应急处置工作制度或方案（包括：应急情况预判和人员紧急避险、疏散逃生、自救互救以及处置流程等涉及应急救援方面的规定或规范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000000"/>
    <w:rsid w:val="10FA2DD1"/>
    <w:rsid w:val="289101EC"/>
    <w:rsid w:val="4D1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ind w:firstLine="420" w:firstLineChars="200"/>
      <w:outlineLvl w:val="1"/>
    </w:pPr>
    <w:rPr>
      <w:rFonts w:ascii="Arial" w:hAnsi="Arial" w:eastAsia="黑体" w:cs="Times New Roman"/>
      <w:b/>
      <w:sz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720"/>
    </w:pPr>
    <w:rPr>
      <w:rFonts w:eastAsia="仿宋_GB2312"/>
      <w:sz w:val="32"/>
    </w:rPr>
  </w:style>
  <w:style w:type="paragraph" w:customStyle="1" w:styleId="8">
    <w:name w:val="PlainText"/>
    <w:basedOn w:val="1"/>
    <w:next w:val="1"/>
    <w:qFormat/>
    <w:uiPriority w:val="0"/>
    <w:rPr>
      <w:rFonts w:ascii="宋体" w:hAnsi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2023-11-02T01:51:00Z</dcterms:created>
  <dc:creator>lenovo</dc:creator>
  <cp:lastModifiedBy>学知言</cp:lastModifiedBy>
  <dcterms:modified xsi:type="dcterms:W3CDTF">2024-03-21T07:26:02Z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47B8FAABD1AF4814A249DECE118E9D7F_12</vt:lpwstr>
  </property>
</Properties>
</file>