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0"/>
          <w:szCs w:val="40"/>
        </w:rPr>
        <w:t>京津冀资质资格互认清单（第一批）</w:t>
      </w:r>
    </w:p>
    <w:p>
      <w:pPr>
        <w:spacing w:line="64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（共50主项，165子项）</w:t>
      </w:r>
    </w:p>
    <w:p>
      <w:pPr>
        <w:pStyle w:val="2"/>
        <w:spacing w:before="0" w:after="0" w:line="560" w:lineRule="exact"/>
        <w:rPr>
          <w:rFonts w:hint="eastAsia"/>
          <w:b w:val="0"/>
          <w:bCs w:val="0"/>
        </w:rPr>
      </w:pPr>
    </w:p>
    <w:tbl>
      <w:tblPr>
        <w:tblStyle w:val="12"/>
        <w:tblW w:w="88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62"/>
        <w:gridCol w:w="2380"/>
        <w:gridCol w:w="1196"/>
        <w:gridCol w:w="1217"/>
        <w:gridCol w:w="16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黑体" w:hAnsi="宋体" w:eastAsia="黑体" w:cs="黑体"/>
                <w:color w:val="000000"/>
                <w:sz w:val="24"/>
                <w:szCs w:val="24"/>
              </w:rPr>
            </w:pPr>
            <w:r>
              <w:rPr>
                <w:rFonts w:ascii="黑体" w:hAnsi="宋体" w:eastAsia="黑体" w:cs="黑体"/>
                <w:color w:val="000000"/>
                <w:kern w:val="0"/>
                <w:sz w:val="24"/>
                <w:szCs w:val="24"/>
                <w:lang w:bidi="ar"/>
              </w:rPr>
              <w:t>序号</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事项主项名称</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黑体" w:hAnsi="宋体" w:eastAsia="黑体" w:cs="黑体"/>
                <w:color w:val="000000"/>
                <w:sz w:val="24"/>
                <w:szCs w:val="24"/>
              </w:rPr>
            </w:pPr>
            <w:r>
              <w:rPr>
                <w:rFonts w:ascii="黑体" w:hAnsi="宋体" w:eastAsia="黑体" w:cs="黑体"/>
                <w:color w:val="000000"/>
                <w:kern w:val="0"/>
                <w:sz w:val="24"/>
                <w:szCs w:val="24"/>
                <w:lang w:bidi="ar"/>
              </w:rPr>
              <w:t>事项子项名称</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黑体" w:hAnsi="宋体" w:eastAsia="黑体" w:cs="黑体"/>
                <w:color w:val="000000"/>
                <w:sz w:val="24"/>
                <w:szCs w:val="24"/>
              </w:rPr>
            </w:pPr>
            <w:r>
              <w:rPr>
                <w:rFonts w:ascii="黑体" w:hAnsi="宋体" w:eastAsia="黑体" w:cs="黑体"/>
                <w:color w:val="000000"/>
                <w:kern w:val="0"/>
                <w:sz w:val="24"/>
                <w:szCs w:val="24"/>
                <w:lang w:bidi="ar"/>
              </w:rPr>
              <w:t>事项类型</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黑体" w:hAnsi="宋体" w:eastAsia="黑体" w:cs="黑体"/>
                <w:color w:val="000000"/>
                <w:sz w:val="24"/>
                <w:szCs w:val="24"/>
              </w:rPr>
            </w:pPr>
            <w:r>
              <w:rPr>
                <w:rFonts w:ascii="黑体" w:hAnsi="宋体" w:eastAsia="黑体" w:cs="黑体"/>
                <w:color w:val="000000"/>
                <w:kern w:val="0"/>
                <w:sz w:val="24"/>
                <w:szCs w:val="24"/>
                <w:lang w:bidi="ar"/>
              </w:rPr>
              <w:t>主管部门</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ascii="黑体" w:hAnsi="宋体" w:eastAsia="黑体" w:cs="黑体"/>
                <w:color w:val="000000"/>
                <w:sz w:val="24"/>
                <w:szCs w:val="24"/>
              </w:rPr>
            </w:pPr>
            <w:r>
              <w:rPr>
                <w:rFonts w:ascii="黑体" w:hAnsi="宋体" w:eastAsia="黑体" w:cs="黑体"/>
                <w:color w:val="000000"/>
                <w:kern w:val="0"/>
                <w:sz w:val="24"/>
                <w:szCs w:val="24"/>
                <w:lang w:bidi="ar"/>
              </w:rPr>
              <w:t>互认结果名称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w:t>
            </w:r>
          </w:p>
        </w:tc>
        <w:tc>
          <w:tcPr>
            <w:tcW w:w="16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教师资格认定</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教师资格认定</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教育</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教师资格证书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16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保安员证核发</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保安员证核发</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公安</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保安员证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3"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w:t>
            </w:r>
          </w:p>
        </w:tc>
        <w:tc>
          <w:tcPr>
            <w:tcW w:w="16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律师执业、变更执业机构许可（含香港、澳门永久性居民中的中国居民及台湾居民申请律师执业、变更执业机构）</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律师执业、变更执业机构许可（含香港、澳门永久性居民中的中国居民及台湾居民申请律师执业、变更执业机构）</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司法</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律师执业证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w:t>
            </w:r>
          </w:p>
        </w:tc>
        <w:tc>
          <w:tcPr>
            <w:tcW w:w="16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司法鉴定人执业、变更、延续、注销登记</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司法鉴定人执业、变更、延续、注销登记</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司法鉴定人执业证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w:t>
            </w:r>
          </w:p>
        </w:tc>
        <w:tc>
          <w:tcPr>
            <w:tcW w:w="16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公证员执业许可</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公证员执业许可</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公证员执业证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3"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w:t>
            </w:r>
          </w:p>
        </w:tc>
        <w:tc>
          <w:tcPr>
            <w:tcW w:w="16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法律援助律师、公职律师、公司律师工作证颁发</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法律援助律师、公职律师、公司律师工作证颁发</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行政确认</w:t>
            </w:r>
          </w:p>
        </w:tc>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律师工作证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w:t>
            </w:r>
          </w:p>
        </w:tc>
        <w:tc>
          <w:tcPr>
            <w:tcW w:w="16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人力资源服务许可</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人力资源服务许可</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人力社保</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人力资源服务许可证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743"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w:t>
            </w:r>
          </w:p>
        </w:tc>
        <w:tc>
          <w:tcPr>
            <w:tcW w:w="1662"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城乡规划编制单位资质认定</w:t>
            </w:r>
          </w:p>
        </w:tc>
        <w:tc>
          <w:tcPr>
            <w:tcW w:w="2380"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城乡规划编制单位乙级资质认定</w:t>
            </w:r>
          </w:p>
        </w:tc>
        <w:tc>
          <w:tcPr>
            <w:tcW w:w="1196"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规划和</w:t>
            </w:r>
          </w:p>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自然资源</w:t>
            </w:r>
          </w:p>
        </w:tc>
        <w:tc>
          <w:tcPr>
            <w:tcW w:w="1672"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城乡规划编制资质证书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74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9</w:t>
            </w:r>
          </w:p>
        </w:tc>
        <w:tc>
          <w:tcPr>
            <w:tcW w:w="16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从事测绘活动的单位测绘资质审批</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从事导航电子地图制作的单位乙级测绘资质审批</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规划和</w:t>
            </w:r>
          </w:p>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自然资源</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74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w:t>
            </w:r>
          </w:p>
        </w:tc>
        <w:tc>
          <w:tcPr>
            <w:tcW w:w="16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从事大地测量的单位甲级测绘资质审批</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74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11</w:t>
            </w:r>
          </w:p>
        </w:tc>
        <w:tc>
          <w:tcPr>
            <w:tcW w:w="16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从事大地测量的单位乙级测绘资质审批</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1" w:hRule="atLeast"/>
          <w:jc w:val="center"/>
        </w:trPr>
        <w:tc>
          <w:tcPr>
            <w:tcW w:w="74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12</w:t>
            </w:r>
          </w:p>
        </w:tc>
        <w:tc>
          <w:tcPr>
            <w:tcW w:w="16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从事测绘航空摄影的单位甲级测绘资质审批</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74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w:t>
            </w:r>
          </w:p>
        </w:tc>
        <w:tc>
          <w:tcPr>
            <w:tcW w:w="16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从事测绘航空摄影的单位乙级测绘资质审批</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74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w:t>
            </w:r>
          </w:p>
        </w:tc>
        <w:tc>
          <w:tcPr>
            <w:tcW w:w="16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从事摄影测量与遥感的单位甲级测绘资质审批</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15</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从事摄影测量与遥感的单位乙级测绘资质审批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16</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从事工程测量的单位甲级测绘资质审批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17</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从事工程测量的单位乙级测绘资质审批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9" w:hRule="exact"/>
          <w:jc w:val="center"/>
        </w:trPr>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18</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从事海洋测绘的单位甲级测绘资质审批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19</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从事海洋测绘的单位乙级测绘资质审批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从事界线与不动产测绘的单位甲级测绘资质审批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1" w:hRule="atLeast"/>
          <w:jc w:val="center"/>
        </w:trPr>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21</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left"/>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从事测绘活动的单位测绘资质审批</w:t>
            </w: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从事界线与不动产测绘的单位乙级测绘资质审批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规划和</w:t>
            </w:r>
          </w:p>
          <w:p>
            <w:pPr>
              <w:widowControl/>
              <w:spacing w:line="300" w:lineRule="exact"/>
              <w:jc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自然资源</w:t>
            </w:r>
          </w:p>
          <w:p>
            <w:pPr>
              <w:widowControl/>
              <w:spacing w:line="300" w:lineRule="exact"/>
              <w:jc w:val="center"/>
              <w:textAlignment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743"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22</w:t>
            </w:r>
          </w:p>
        </w:tc>
        <w:tc>
          <w:tcPr>
            <w:tcW w:w="1662" w:type="dxa"/>
            <w:vMerge w:val="continue"/>
            <w:tcBorders>
              <w:left w:val="single" w:color="auto" w:sz="4" w:space="0"/>
              <w:right w:val="single" w:color="auto" w:sz="4" w:space="0"/>
            </w:tcBorders>
            <w:shd w:val="clear" w:color="auto" w:fill="FFFFFF"/>
            <w:noWrap w:val="0"/>
            <w:vAlign w:val="center"/>
          </w:tcPr>
          <w:p>
            <w:pPr>
              <w:widowControl/>
              <w:spacing w:line="300" w:lineRule="exact"/>
              <w:jc w:val="lef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从事地理信息系统工程的单位甲级测绘资质审批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1" w:hRule="atLeast"/>
          <w:jc w:val="center"/>
        </w:trPr>
        <w:tc>
          <w:tcPr>
            <w:tcW w:w="743"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23</w:t>
            </w:r>
          </w:p>
        </w:tc>
        <w:tc>
          <w:tcPr>
            <w:tcW w:w="1662" w:type="dxa"/>
            <w:vMerge w:val="continue"/>
            <w:tcBorders>
              <w:left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从事地理信息系统工程的单位乙级测绘资质审批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743"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24</w:t>
            </w:r>
          </w:p>
        </w:tc>
        <w:tc>
          <w:tcPr>
            <w:tcW w:w="1662" w:type="dxa"/>
            <w:vMerge w:val="continue"/>
            <w:tcBorders>
              <w:left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从事地图编制的单位甲级测绘资质审批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743"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25</w:t>
            </w:r>
          </w:p>
        </w:tc>
        <w:tc>
          <w:tcPr>
            <w:tcW w:w="1662" w:type="dxa"/>
            <w:vMerge w:val="continue"/>
            <w:tcBorders>
              <w:left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从事地图编制的单位乙级测绘资质审批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9" w:hRule="atLeast"/>
          <w:jc w:val="center"/>
        </w:trPr>
        <w:tc>
          <w:tcPr>
            <w:tcW w:w="743"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26</w:t>
            </w:r>
          </w:p>
        </w:tc>
        <w:tc>
          <w:tcPr>
            <w:tcW w:w="1662" w:type="dxa"/>
            <w:vMerge w:val="continue"/>
            <w:tcBorders>
              <w:left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从事互联网地图服务的单位甲级测绘资质审批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jc w:val="center"/>
        </w:trPr>
        <w:tc>
          <w:tcPr>
            <w:tcW w:w="743"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27</w:t>
            </w:r>
          </w:p>
        </w:tc>
        <w:tc>
          <w:tcPr>
            <w:tcW w:w="1662" w:type="dxa"/>
            <w:vMerge w:val="continue"/>
            <w:tcBorders>
              <w:left w:val="single" w:color="auto" w:sz="4" w:space="0"/>
              <w:bottom w:val="single" w:color="000000"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从事互联网地图服务的单位乙级测绘资质审批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28</w:t>
            </w:r>
          </w:p>
        </w:tc>
        <w:tc>
          <w:tcPr>
            <w:tcW w:w="1662" w:type="dxa"/>
            <w:vMerge w:val="continue"/>
            <w:tcBorders>
              <w:top w:val="single" w:color="auto" w:sz="4" w:space="0"/>
              <w:left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地质灾害危险性评估单位甲级资质审批（地质灾害评估和治理工程勘查设计甲级资质审批）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地质灾害防治单位资质证书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29</w:t>
            </w:r>
          </w:p>
        </w:tc>
        <w:tc>
          <w:tcPr>
            <w:tcW w:w="1662" w:type="dxa"/>
            <w:vMerge w:val="continue"/>
            <w:tcBorders>
              <w:left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地质灾害治理工程勘查单位甲级资质审批（地质灾害评估和治理工程勘查设计甲级资质审批）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地质灾害防治单位资质证书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8" w:hRule="atLeast"/>
          <w:jc w:val="center"/>
        </w:trPr>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30</w:t>
            </w:r>
          </w:p>
        </w:tc>
        <w:tc>
          <w:tcPr>
            <w:tcW w:w="1662" w:type="dxa"/>
            <w:vMerge w:val="continue"/>
            <w:tcBorders>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地质灾害治理工程设计单位甲级资质审批（地质灾害评估和治理工程勘查设计甲级资质审批）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地质灾害防治单位资质证书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31</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地质灾害防治单位资质审批</w:t>
            </w: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地质灾害治理工程施工单位甲级资质审批（地质灾害治理工程施工甲级资质审批）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规划和</w:t>
            </w:r>
          </w:p>
          <w:p>
            <w:pPr>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自然资源</w:t>
            </w:r>
          </w:p>
        </w:tc>
        <w:tc>
          <w:tcPr>
            <w:tcW w:w="16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地质灾害防治单位资质证书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7" w:hRule="atLeast"/>
          <w:jc w:val="center"/>
        </w:trPr>
        <w:tc>
          <w:tcPr>
            <w:tcW w:w="743"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32</w:t>
            </w:r>
          </w:p>
        </w:tc>
        <w:tc>
          <w:tcPr>
            <w:tcW w:w="1662" w:type="dxa"/>
            <w:vMerge w:val="continue"/>
            <w:tcBorders>
              <w:left w:val="single" w:color="auto" w:sz="4" w:space="0"/>
              <w:right w:val="single" w:color="auto" w:sz="4" w:space="0"/>
            </w:tcBorders>
            <w:shd w:val="clear" w:color="auto" w:fill="FFFFFF"/>
            <w:noWrap w:val="0"/>
            <w:vAlign w:val="center"/>
          </w:tcPr>
          <w:p>
            <w:pPr>
              <w:jc w:val="lef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地质灾害治理工程监理单位甲级资质审批（地质灾害治理工程监理甲级资质审批）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auto"/>
            <w:noWrap w:val="0"/>
            <w:vAlign w:val="center"/>
          </w:tcPr>
          <w:p>
            <w:pPr>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地质灾害防治单位资质证书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743"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33</w:t>
            </w:r>
          </w:p>
        </w:tc>
        <w:tc>
          <w:tcPr>
            <w:tcW w:w="1662" w:type="dxa"/>
            <w:vMerge w:val="continue"/>
            <w:tcBorders>
              <w:left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地质灾害危险性评估单位乙级资质审批（地质灾害评估和治理工程勘查设计乙级资质审批）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地质灾害防治单位资质证书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3" w:hRule="atLeast"/>
          <w:jc w:val="center"/>
        </w:trPr>
        <w:tc>
          <w:tcPr>
            <w:tcW w:w="743"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34</w:t>
            </w:r>
          </w:p>
        </w:tc>
        <w:tc>
          <w:tcPr>
            <w:tcW w:w="1662" w:type="dxa"/>
            <w:vMerge w:val="continue"/>
            <w:tcBorders>
              <w:left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地质灾害治理工程勘查单位乙级资质审批（地质灾害评估和治理工程勘查设计乙级资质审批）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地质灾害防治单位资质证书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743"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35</w:t>
            </w:r>
          </w:p>
        </w:tc>
        <w:tc>
          <w:tcPr>
            <w:tcW w:w="1662" w:type="dxa"/>
            <w:vMerge w:val="continue"/>
            <w:tcBorders>
              <w:left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地质灾害治理工程设计单位乙级资质审批（地质灾害评估和治理工程勘查设计乙级资质审批）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地质灾害防治单位资质证书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743"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36</w:t>
            </w:r>
          </w:p>
        </w:tc>
        <w:tc>
          <w:tcPr>
            <w:tcW w:w="1662" w:type="dxa"/>
            <w:vMerge w:val="continue"/>
            <w:tcBorders>
              <w:left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地质灾害治理工程施工单位乙级资质审批（地质灾害治理工程施工乙级资质审批）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auto"/>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地质灾害防治单位资质证书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1" w:hRule="atLeast"/>
          <w:jc w:val="center"/>
        </w:trPr>
        <w:tc>
          <w:tcPr>
            <w:tcW w:w="743"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37</w:t>
            </w:r>
          </w:p>
        </w:tc>
        <w:tc>
          <w:tcPr>
            <w:tcW w:w="1662" w:type="dxa"/>
            <w:vMerge w:val="continue"/>
            <w:tcBorders>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地质灾害治理工程监理单位乙级资质审批（地质灾害治理工程监理乙级资质审批）</w:t>
            </w:r>
          </w:p>
        </w:tc>
        <w:tc>
          <w:tcPr>
            <w:tcW w:w="11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p>
        </w:tc>
        <w:tc>
          <w:tcPr>
            <w:tcW w:w="1672"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地质灾害防治单位资质证书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5" w:hRule="exact"/>
          <w:jc w:val="center"/>
        </w:trPr>
        <w:tc>
          <w:tcPr>
            <w:tcW w:w="74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38</w:t>
            </w:r>
          </w:p>
        </w:tc>
        <w:tc>
          <w:tcPr>
            <w:tcW w:w="1662"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注册建筑师执业资格认定</w:t>
            </w:r>
          </w:p>
        </w:tc>
        <w:tc>
          <w:tcPr>
            <w:tcW w:w="238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二级注册建筑师执业资格认定</w:t>
            </w:r>
          </w:p>
        </w:tc>
        <w:tc>
          <w:tcPr>
            <w:tcW w:w="119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规划和自然资源、住房城乡建设</w:t>
            </w:r>
          </w:p>
        </w:tc>
        <w:tc>
          <w:tcPr>
            <w:tcW w:w="167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二级注册建筑师注册证书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39</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建设工程勘察企业资质认定</w:t>
            </w:r>
          </w:p>
          <w:p>
            <w:pPr>
              <w:widowControl/>
              <w:spacing w:line="300" w:lineRule="exact"/>
              <w:textAlignment w:val="center"/>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岩土工程专业乙级资质认定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规划和自然资源、住房城乡建设</w:t>
            </w:r>
          </w:p>
          <w:p>
            <w:pPr>
              <w:widowControl/>
              <w:spacing w:line="300" w:lineRule="exact"/>
              <w:jc w:val="center"/>
              <w:textAlignment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工程勘察资质证书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40</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工程测量专业乙级资质认定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000000" w:sz="4" w:space="0"/>
              <w:left w:val="single" w:color="auto" w:sz="4" w:space="0"/>
              <w:bottom w:val="single" w:color="000000"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工程勘察资质证书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41</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勘探测试专业乙级资质认定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000000" w:sz="4" w:space="0"/>
              <w:left w:val="single" w:color="auto" w:sz="4" w:space="0"/>
              <w:bottom w:val="single" w:color="000000"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工程勘察资质证书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42</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工程设计建筑行业乙级资质认定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000000" w:sz="4" w:space="0"/>
              <w:left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43</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工程设计市政行业乙级资质认定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6"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44</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工程设计电力行业乙级资质认定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6"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45</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工程设计煤炭行业乙级资质认定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46</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工程设计冶金建材行业乙级资质认定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47</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工程设计化工石化医药行业乙级资质认定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48</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工程设计机械军工行业乙级资质认定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49</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工程设计轻纺农林商物粮行业乙级资质认定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50</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工程设计建筑行业建筑工程专业乙级资质认定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51</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工程设计建筑行业人防工程专业乙级资质认定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2"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52</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建设工程设计企业资质认定</w:t>
            </w: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工程设计市政行业（燃气工程、轨道交通工程除外）乙级资质认定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rPr>
            </w:pPr>
            <w:r>
              <w:rPr>
                <w:rFonts w:hint="eastAsia" w:ascii="仿宋_GB2312" w:hAnsi="宋体" w:eastAsia="仿宋_GB2312" w:cs="仿宋_GB2312"/>
                <w:color w:val="000000"/>
                <w:kern w:val="0"/>
                <w:sz w:val="24"/>
                <w:szCs w:val="24"/>
                <w:lang w:bidi="ar"/>
              </w:rPr>
              <w:t>规划和自然资源、住房城乡建设</w:t>
            </w: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9"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53</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工程设计市政行业给水工程专业乙级资质认定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54</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工程设计市政行业排水工程专业乙级资质认定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55</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工程设计市政行业燃气工程专业乙级资质认定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56</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工程设计市政行业热力工程专业乙级资质认定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4"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57</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工程设计市政行业道路与公共交通工程专业乙级资质认定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58</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工程设计市政行业桥梁工程专业乙级资质认定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59</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工程设计电力行业火力发电工程专业乙级资质认定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60</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工程设计电力行业水力发电工程专业乙级资质认定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61</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工程设计电力行业新能源发电工程专业乙级资质认定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5"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62</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工程设计电力行业核工业工程专业乙级资质认定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63</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建设工程设计企业资质认定</w:t>
            </w:r>
          </w:p>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工程设计电力行业送变电工程专业乙级资质认定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规划和自然资源、住房城乡建设</w:t>
            </w: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64</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工程设计煤炭行业矿井工程专业乙级资质认定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65</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工程设计煤炭行业露天矿工程专业乙级资质认定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66</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工程设计煤炭行业选煤厂工程专业乙级资质认定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67</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工程设计冶金建材行业冶金工程专业乙级资质认定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68</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工程设计冶金建材行业建材工程专业乙级资质认定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69</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工程设计冶金建材行业冶金建材矿山工程专业乙级资质认定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70</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工程设计化工石化医药行业化工工程专业乙级资质认定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71</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工程设计化工石化医药行业化工矿山专业乙级资质认定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1"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72</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工程设计化工石化医药行业石油及化工产品储运专业乙级资质认定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7"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73</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工程设计化工石化医药行业油气开采专业乙级资质认定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74</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建设工程设计企业资质认定</w:t>
            </w:r>
          </w:p>
          <w:p>
            <w:pPr>
              <w:widowControl/>
              <w:spacing w:line="300" w:lineRule="exact"/>
              <w:textAlignment w:val="center"/>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工程设计化工石化医药行业海洋石油专业乙级资质认定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规划和自然资源、住房城乡建设</w:t>
            </w:r>
          </w:p>
          <w:p>
            <w:pPr>
              <w:widowControl/>
              <w:spacing w:line="300" w:lineRule="exact"/>
              <w:jc w:val="center"/>
              <w:textAlignment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5"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75</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工程设计化工石化医药行业原料药专业乙级资质认定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76</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工程设计化工石化医药行业医药工程专业乙级资质认定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2"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77</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工程设计机械军工行业机械工程专业乙级资质认定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0"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78</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工程设计机械军工行业军工工程专业乙级资质认定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79</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工程轻纺农林商物粮行业轻工工程专业乙级资质认定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1"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80</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工程轻纺农林商物粮行业纺织工程专业乙级资质认定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81</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工程设计轻纺农林商物粮行业农业工程专业乙级资质认定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1"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82</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工程设计轻纺农林商物粮行业林业工程专业乙级资质认定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83</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工程设计轻纺农林商物粮行业商物粮专业乙级资质认定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4"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84</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工程设计建筑装饰工程通用专业乙级资质认定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1"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85</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建设工程设计企业资质认定</w:t>
            </w: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工程设计建筑智能化工程通用专业乙级资质认定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ascii="仿宋_GB2312" w:hAnsi="宋体" w:eastAsia="仿宋_GB2312" w:cs="仿宋_GB2312"/>
                <w:color w:val="000000"/>
                <w:sz w:val="24"/>
                <w:szCs w:val="24"/>
                <w:lang w:val="en"/>
              </w:rPr>
            </w:pPr>
            <w:r>
              <w:rPr>
                <w:rFonts w:hint="eastAsia" w:ascii="仿宋_GB2312" w:hAnsi="宋体" w:eastAsia="仿宋_GB2312" w:cs="仿宋_GB2312"/>
                <w:color w:val="000000"/>
                <w:kern w:val="0"/>
                <w:sz w:val="24"/>
                <w:szCs w:val="24"/>
                <w:lang w:bidi="ar"/>
              </w:rPr>
              <w:t>规划和自然资源、住房城乡建设</w:t>
            </w: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86</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工程设计照明工程通用专业乙级资质认定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87</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工程设计建筑幕墙工程通用专业乙级资质认定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9"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88</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工程设计轻型钢结构工程通用专业乙级资质认定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4"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89</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工程设计风景园林工程通用专业乙级资质认定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90</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工程设计消防设施工程通用专业乙级资质认定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91</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工程设计环境工程通用专业乙级资质认定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ascii="仿宋_GB2312" w:hAnsi="宋体" w:eastAsia="仿宋_GB2312" w:cs="仿宋_GB2312"/>
                <w:color w:val="000000"/>
                <w:sz w:val="24"/>
                <w:szCs w:val="24"/>
                <w:lang w:val="en"/>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工程设计资质证书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0" w:hRule="exac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92</w:t>
            </w:r>
          </w:p>
        </w:tc>
        <w:tc>
          <w:tcPr>
            <w:tcW w:w="166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勘察设计注册工程师执业资格认定</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二级注册结构工程师执业资格认定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规划和自然资源、住房城乡建设</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二级注册结构师注册证书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exac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93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测绘作业证办理</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测绘作业证办理</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其他行政权力</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规划和</w:t>
            </w:r>
          </w:p>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自然资源</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测绘作业证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9"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94</w:t>
            </w:r>
          </w:p>
        </w:tc>
        <w:tc>
          <w:tcPr>
            <w:tcW w:w="1662"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建设工程质量检测机构资质审批</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建设工程质量检测机构资质审批</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住房城乡建设</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建设工程质量检测机构资质证书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6"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95</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建筑施工特种作业人员职业资格认定</w:t>
            </w: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建筑施工特种作业人员职业资格认定（建筑电工）</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住房城乡建设</w:t>
            </w: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建筑施工特种作业操作资格证书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8"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96</w:t>
            </w:r>
          </w:p>
        </w:tc>
        <w:tc>
          <w:tcPr>
            <w:tcW w:w="1662" w:type="dxa"/>
            <w:vMerge w:val="restart"/>
            <w:tcBorders>
              <w:top w:val="single" w:color="auto" w:sz="4" w:space="0"/>
              <w:left w:val="single" w:color="auto" w:sz="4" w:space="0"/>
              <w:right w:val="single" w:color="auto" w:sz="4" w:space="0"/>
            </w:tcBorders>
            <w:shd w:val="clear" w:color="auto" w:fill="FFFFFF"/>
            <w:noWrap w:val="0"/>
            <w:vAlign w:val="center"/>
          </w:tcPr>
          <w:p>
            <w:pPr>
              <w:jc w:val="left"/>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建筑施工特种作业人员职业资格认定</w:t>
            </w: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建筑施工特种作业人员职业资格认定〔建筑架子工（普通脚手架）〕</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auto" w:sz="4" w:space="0"/>
              <w:left w:val="single" w:color="auto" w:sz="4" w:space="0"/>
              <w:right w:val="single" w:color="auto" w:sz="4" w:space="0"/>
            </w:tcBorders>
            <w:shd w:val="clear" w:color="auto" w:fill="FFFFFF"/>
            <w:noWrap w:val="0"/>
            <w:vAlign w:val="center"/>
          </w:tcPr>
          <w:p>
            <w:pPr>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住房城乡建设</w:t>
            </w: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建筑施工特种作业操作资格证书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0"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97</w:t>
            </w:r>
          </w:p>
        </w:tc>
        <w:tc>
          <w:tcPr>
            <w:tcW w:w="1662" w:type="dxa"/>
            <w:vMerge w:val="continue"/>
            <w:tcBorders>
              <w:left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建筑施工特种作业人员职业资格认定〔建筑架子工（附着升降脚手架）〕</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建筑施工特种作业操作资格证书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2"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98</w:t>
            </w:r>
          </w:p>
        </w:tc>
        <w:tc>
          <w:tcPr>
            <w:tcW w:w="1662" w:type="dxa"/>
            <w:vMerge w:val="continue"/>
            <w:tcBorders>
              <w:left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建筑施工特种作业人员职业资格认定（建筑起重司索信号工）</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建筑施工特种作业操作资格证书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8"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99</w:t>
            </w:r>
          </w:p>
        </w:tc>
        <w:tc>
          <w:tcPr>
            <w:tcW w:w="1662" w:type="dxa"/>
            <w:vMerge w:val="continue"/>
            <w:tcBorders>
              <w:left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建筑施工特种作业人员职业资格认定〔建筑起重机械司机（塔式起重机）〕</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建筑施工特种作业操作资格证书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100</w:t>
            </w:r>
          </w:p>
        </w:tc>
        <w:tc>
          <w:tcPr>
            <w:tcW w:w="1662" w:type="dxa"/>
            <w:vMerge w:val="continue"/>
            <w:tcBorders>
              <w:left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建筑施工特种作业人员职业资格认定〔建筑起重机械司机（施工升降机）〕</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建筑施工特种作业操作资格证书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7"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101</w:t>
            </w:r>
          </w:p>
        </w:tc>
        <w:tc>
          <w:tcPr>
            <w:tcW w:w="1662" w:type="dxa"/>
            <w:vMerge w:val="continue"/>
            <w:tcBorders>
              <w:left w:val="single" w:color="auto" w:sz="4" w:space="0"/>
              <w:right w:val="single" w:color="auto" w:sz="4" w:space="0"/>
            </w:tcBorders>
            <w:shd w:val="clear" w:color="auto" w:fill="FFFFFF"/>
            <w:noWrap w:val="0"/>
            <w:vAlign w:val="center"/>
          </w:tcPr>
          <w:p>
            <w:pPr>
              <w:jc w:val="lef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建筑施工特种作业人员职业资格认定〔建筑起重机械司机（物料提升机）〕</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FFFFFF"/>
            <w:noWrap w:val="0"/>
            <w:vAlign w:val="center"/>
          </w:tcPr>
          <w:p>
            <w:pPr>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建筑施工特种作业操作资格证书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0"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102</w:t>
            </w:r>
          </w:p>
        </w:tc>
        <w:tc>
          <w:tcPr>
            <w:tcW w:w="1662" w:type="dxa"/>
            <w:vMerge w:val="continue"/>
            <w:tcBorders>
              <w:left w:val="single" w:color="auto" w:sz="4" w:space="0"/>
              <w:right w:val="single" w:color="auto" w:sz="4" w:space="0"/>
            </w:tcBorders>
            <w:shd w:val="clear" w:color="auto" w:fill="FFFFFF"/>
            <w:noWrap w:val="0"/>
            <w:vAlign w:val="center"/>
          </w:tcPr>
          <w:p>
            <w:pPr>
              <w:jc w:val="lef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建筑施工特种作业人员职业资格认定〔建筑起重机械安装拆卸工（塔式起重机）〕</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FFFFFF"/>
            <w:noWrap w:val="0"/>
            <w:vAlign w:val="center"/>
          </w:tcPr>
          <w:p>
            <w:pPr>
              <w:jc w:val="left"/>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建筑施工特种作业操作资格证书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9"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103</w:t>
            </w:r>
          </w:p>
        </w:tc>
        <w:tc>
          <w:tcPr>
            <w:tcW w:w="1662" w:type="dxa"/>
            <w:vMerge w:val="continue"/>
            <w:tcBorders>
              <w:left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建筑施工特种作业人员职业资格认定〔建筑起重机械安装拆卸工（施工升降机）〕</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建筑施工特种作业操作资格证书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2"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104</w:t>
            </w:r>
          </w:p>
        </w:tc>
        <w:tc>
          <w:tcPr>
            <w:tcW w:w="1662" w:type="dxa"/>
            <w:vMerge w:val="continue"/>
            <w:tcBorders>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建筑施工特种作业人员职业资格认定〔建筑起重机械安装拆卸工（物料提升机）〕</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建筑施工特种作业操作资格证书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4"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105</w:t>
            </w:r>
          </w:p>
        </w:tc>
        <w:tc>
          <w:tcPr>
            <w:tcW w:w="1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建筑施工特种作业人员职业资格认定</w:t>
            </w: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建筑施工特种作业人员职业资格认定（高处作业吊篮安装拆卸工）</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住房城乡建设</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建筑施工特种作业操作资格证书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106</w:t>
            </w:r>
          </w:p>
        </w:tc>
        <w:tc>
          <w:tcPr>
            <w:tcW w:w="166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房地产开发企业资质核定</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房地产开发企业二级资质核定〔房地产开发企业二级资质核定（省级权限）、房地产开发企业二级资质核定（设区的市级权限）〕</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住房城乡建设</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房地产开发企业资质证书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107</w:t>
            </w:r>
          </w:p>
        </w:tc>
        <w:tc>
          <w:tcPr>
            <w:tcW w:w="1662"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建筑施工企业安全生产许可</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建筑施工企业安全生产许可</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住房城乡建设</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5"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108</w:t>
            </w:r>
          </w:p>
        </w:tc>
        <w:tc>
          <w:tcPr>
            <w:tcW w:w="1662" w:type="dxa"/>
            <w:vMerge w:val="restart"/>
            <w:tcBorders>
              <w:top w:val="single" w:color="auto" w:sz="4" w:space="0"/>
              <w:left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建筑施工企业主要负责人、项目负责人和专职安全生产管理人员安全生产考核</w:t>
            </w: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建筑施工企业主要负责人安全生产考核</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auto" w:sz="4" w:space="0"/>
              <w:left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住房城乡建设</w:t>
            </w: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建筑施工企业主要负责人安全生产考核合格证书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5" w:hRule="exac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109</w:t>
            </w:r>
          </w:p>
        </w:tc>
        <w:tc>
          <w:tcPr>
            <w:tcW w:w="1662" w:type="dxa"/>
            <w:vMerge w:val="continue"/>
            <w:tcBorders>
              <w:left w:val="single" w:color="auto" w:sz="4" w:space="0"/>
              <w:bottom w:val="single" w:color="000000"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建筑施工企业项目负责人安全生产考核</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auto" w:sz="4" w:space="0"/>
              <w:bottom w:val="single" w:color="000000"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建筑施工企业项目负责人安全生产考核合格证书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exac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110</w:t>
            </w:r>
          </w:p>
        </w:tc>
        <w:tc>
          <w:tcPr>
            <w:tcW w:w="1662" w:type="dxa"/>
            <w:vMerge w:val="continue"/>
            <w:tcBorders>
              <w:top w:val="single" w:color="000000"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建筑施工企业专职安全生产管理人员安全生产考核</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000000"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建筑施工企业专职安全生产管理人员安全生产考核合格证书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1"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111</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建造师执业资格认定</w:t>
            </w: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二级建造师执业资格认定（建筑工程专业）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住房城乡建设</w:t>
            </w: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二级建造师注册证书</w:t>
            </w:r>
          </w:p>
        </w:tc>
      </w:tr>
      <w:tr>
        <w:tblPrEx>
          <w:tblCellMar>
            <w:top w:w="0" w:type="dxa"/>
            <w:left w:w="108" w:type="dxa"/>
            <w:bottom w:w="0" w:type="dxa"/>
            <w:right w:w="108" w:type="dxa"/>
          </w:tblCellMar>
        </w:tblPrEx>
        <w:trPr>
          <w:trHeight w:val="877"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112</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二级建造师执业资格认定（公路工程专业）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二级建造师注册证书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2"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113</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二级建造师执业资格认定（水利水电工程专业）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二级建造师注册证书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2"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114</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建造师执业资格认定</w:t>
            </w: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二级建造师执业资格认定（市政公用工程专业）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住房城乡建设</w:t>
            </w: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二级建造师注册证书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9"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115</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二级建造师执业资格认定（矿业工程专业）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二级建造师注册证书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4"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116</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二级建造师执业资格认定（机电工程专业）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二级建造师注册证书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6"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117</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公路养护作业单位资质审批</w:t>
            </w: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公路养护作业单位路基路面养护甲级资质审批</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交通</w:t>
            </w: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公路养护作业单位资质证书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118</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公路养护作业单位路基路面养护乙级资质审批</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公路养护作业单位资质证书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8"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119</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公路养护作业单位桥梁养护甲级资质审批</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公路养护作业单位资质证书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9"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120</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公路养护作业单位桥梁养护乙级资质审批</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公路养护作业单位资质证书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121</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公路养护作业单位隧道养护甲级资质审批</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公路养护作业单位资质证书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122</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公路养护作业单位隧道养护乙级资质审批</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公路养护作业单位资质证书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2" w:hRule="exac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123</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公路养护作业单位交通安全设施养护资质审批</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公路养护作业单位资质证书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8" w:hRule="exac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124</w:t>
            </w:r>
          </w:p>
        </w:tc>
        <w:tc>
          <w:tcPr>
            <w:tcW w:w="166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经营性货运驾驶员从业资格认定（除使用4500千克及以下普通货运车辆的驾驶人员外）</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经营性货运驾驶员从业资格认定（除使用4500千克及以下普通货运车辆的驾驶人员外）</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交通</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道路运输从业人员从业资格证（经营性货运驾驶员从业资格证）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4" w:hRule="exac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125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经营性客运驾驶员从业资格认定</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经营性客运驾驶员从业资格认定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交通</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道路运输从业人员从业资格证（经营性客运驾驶员从业资格证）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126</w:t>
            </w: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水运工程监理企业资质许可</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水运工程甲级监理企业资质许可</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交通</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公路水运工程监理企业资质证书（水运工程监理资质证书）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127</w:t>
            </w: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水运工程乙级监理企业资质许可</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公路水运工程监理企业资质证书（水运工程监理资质证书）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128</w:t>
            </w: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水运工程机电专项监理企业资质许可</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公路水运工程监理企业资质证书（水运工程监理资质证书）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129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公路工程监理企业资质许可</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公路工程乙级监理企业资质许可</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交通</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公路水运工程监理企业资质证书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130</w:t>
            </w:r>
          </w:p>
        </w:tc>
        <w:tc>
          <w:tcPr>
            <w:tcW w:w="1662"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危险货物道路运输从业人员从业资格认定</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危险货物道路运输驾驶人员从业资格认定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交通</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道路运输从业人员从业资格证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131</w:t>
            </w:r>
          </w:p>
        </w:tc>
        <w:tc>
          <w:tcPr>
            <w:tcW w:w="1662"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危险货物道路运输押运人员从业资格认定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道路运输从业人员从业资格证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132</w:t>
            </w:r>
          </w:p>
        </w:tc>
        <w:tc>
          <w:tcPr>
            <w:tcW w:w="1662" w:type="dxa"/>
            <w:vMerge w:val="continue"/>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危险货物道路运输从业人员从业资格认定</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危险货物道路运输装卸管理人员从业资格认定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交通</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道路运输从业人员从业资格证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743" w:type="dxa"/>
            <w:tcBorders>
              <w:top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133</w:t>
            </w:r>
          </w:p>
        </w:tc>
        <w:tc>
          <w:tcPr>
            <w:tcW w:w="1662" w:type="dxa"/>
            <w:tcBorders>
              <w:top w:val="single" w:color="auto" w:sz="4" w:space="0"/>
              <w:left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水利工程质量检测单位资质认定</w:t>
            </w: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水利工程质量检测单位岩土工程乙级资质认定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auto" w:sz="4" w:space="0"/>
              <w:left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kern w:val="0"/>
                <w:sz w:val="24"/>
                <w:szCs w:val="24"/>
                <w:lang w:bidi="ar"/>
              </w:rPr>
            </w:pPr>
          </w:p>
          <w:p>
            <w:pPr>
              <w:widowControl/>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水务</w:t>
            </w:r>
          </w:p>
        </w:tc>
        <w:tc>
          <w:tcPr>
            <w:tcW w:w="1672" w:type="dxa"/>
            <w:tcBorders>
              <w:top w:val="single" w:color="000000" w:sz="4" w:space="0"/>
              <w:left w:val="single" w:color="auto" w:sz="4" w:space="0"/>
              <w:bottom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水利工程质量检测单位资质等级证书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9"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134</w:t>
            </w:r>
          </w:p>
        </w:tc>
        <w:tc>
          <w:tcPr>
            <w:tcW w:w="1662" w:type="dxa"/>
            <w:vMerge w:val="restart"/>
            <w:tcBorders>
              <w:top w:val="single" w:color="000000" w:sz="4" w:space="0"/>
              <w:left w:val="single" w:color="auto" w:sz="4" w:space="0"/>
              <w:bottom w:val="single" w:color="000000" w:sz="4" w:space="0"/>
              <w:right w:val="single" w:color="auto" w:sz="4" w:space="0"/>
            </w:tcBorders>
            <w:shd w:val="clear" w:color="auto" w:fill="FFFFFF"/>
            <w:noWrap w:val="0"/>
            <w:vAlign w:val="center"/>
          </w:tcPr>
          <w:p>
            <w:pPr>
              <w:widowControl/>
              <w:jc w:val="left"/>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水利工程质量检测单位资质认定</w:t>
            </w: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水利工程质量检测单位混凝土工程乙级资质认定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000000" w:sz="4" w:space="0"/>
              <w:left w:val="single" w:color="auto" w:sz="4" w:space="0"/>
              <w:bottom w:val="single" w:color="000000" w:sz="4" w:space="0"/>
              <w:right w:val="single" w:color="auto" w:sz="4" w:space="0"/>
            </w:tcBorders>
            <w:shd w:val="clear" w:color="auto" w:fill="FFFFFF"/>
            <w:noWrap w:val="0"/>
            <w:vAlign w:val="center"/>
          </w:tcPr>
          <w:p>
            <w:pPr>
              <w:widowControl/>
              <w:tabs>
                <w:tab w:val="left" w:pos="437"/>
              </w:tabs>
              <w:jc w:val="center"/>
              <w:rPr>
                <w:rFonts w:ascii="仿宋_GB2312" w:hAnsi="宋体" w:eastAsia="仿宋_GB2312" w:cs="仿宋_GB2312"/>
                <w:color w:val="000000"/>
                <w:sz w:val="24"/>
                <w:szCs w:val="24"/>
                <w:lang w:val="en"/>
              </w:rPr>
            </w:pPr>
            <w:r>
              <w:rPr>
                <w:rFonts w:hint="eastAsia" w:ascii="仿宋_GB2312" w:hAnsi="宋体" w:eastAsia="仿宋_GB2312" w:cs="仿宋_GB2312"/>
                <w:color w:val="000000"/>
                <w:kern w:val="0"/>
                <w:sz w:val="24"/>
                <w:szCs w:val="24"/>
                <w:lang w:bidi="ar"/>
              </w:rPr>
              <w:t>水务</w:t>
            </w: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水利工程质量检测单位资质等级证书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135</w:t>
            </w:r>
          </w:p>
        </w:tc>
        <w:tc>
          <w:tcPr>
            <w:tcW w:w="1662" w:type="dxa"/>
            <w:vMerge w:val="continue"/>
            <w:tcBorders>
              <w:top w:val="single" w:color="000000" w:sz="4" w:space="0"/>
              <w:left w:val="single" w:color="auto" w:sz="4" w:space="0"/>
              <w:bottom w:val="single" w:color="000000"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水利工程质量检测单位金属结构乙级资质认定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000000" w:sz="4" w:space="0"/>
              <w:left w:val="single" w:color="auto" w:sz="4" w:space="0"/>
              <w:bottom w:val="single" w:color="000000"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水利工程质量检测单位资质等级证书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136</w:t>
            </w:r>
          </w:p>
        </w:tc>
        <w:tc>
          <w:tcPr>
            <w:tcW w:w="1662" w:type="dxa"/>
            <w:vMerge w:val="continue"/>
            <w:tcBorders>
              <w:top w:val="single" w:color="000000" w:sz="4" w:space="0"/>
              <w:left w:val="single" w:color="auto" w:sz="4" w:space="0"/>
              <w:bottom w:val="single" w:color="000000"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水利工程质量检测单位机械电气乙级资质认定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000000" w:sz="4" w:space="0"/>
              <w:left w:val="single" w:color="auto" w:sz="4" w:space="0"/>
              <w:bottom w:val="single" w:color="000000"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水利工程质量检测单位资质等级证书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137</w:t>
            </w:r>
          </w:p>
        </w:tc>
        <w:tc>
          <w:tcPr>
            <w:tcW w:w="1662" w:type="dxa"/>
            <w:vMerge w:val="continue"/>
            <w:tcBorders>
              <w:top w:val="single" w:color="000000"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水利工程质量检测单位量测乙级资质认定</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000000"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水利工程质量检测单位资质等级证书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138</w:t>
            </w:r>
          </w:p>
        </w:tc>
        <w:tc>
          <w:tcPr>
            <w:tcW w:w="1662"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造价工程师（水利工程）注册</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二级造价工程师（水利工程）注册</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水务</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水利造价工程师注册证书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64" w:hRule="exac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139</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水利水电工程施工企业主要负责人、项目负责人和专职安全生产管理人员安全生产考核</w:t>
            </w: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本省级行政区域内工商注册的水利水电工程施工总承包二级（含）以下资质以及专业承包二级（含）以下资质施工企业的主要负责人安全生产考核</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水务</w:t>
            </w: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水利水电工程施工企业主要负责人安全生产考核合格证书、行政许可决定书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3"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140</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本省级行政区域内工商注册的水利水电工程施工总承包二级（含）以下资质以及专业承包二级（含）以下资质施工企业的项目负责人安全生产考核</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水利水电工程施工企业项目负责人安全生产考核合格证书、行政许可决定书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141</w:t>
            </w:r>
          </w:p>
        </w:tc>
        <w:tc>
          <w:tcPr>
            <w:tcW w:w="1662" w:type="dxa"/>
            <w:vMerge w:val="continue"/>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水利水电工程施工企业主要负责人、项目负责人和专职安全生产管理人员安全生产考核</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本省级行政区域内工商注册的水利水电工程施工总承包二级（含）以下资质以及专业承包二级（含）以下资质施工企业的专职安全生产管理人员安全生产考核</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水务</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水利水电工程施工企业专职安全生产管理人员安全生产考核合格证书、行政许可决定书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执业兽医资格认定</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执业兽医资格认定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农业农村</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执业兽医师资格证书（执业兽医师资格证书、执业助理兽医师证书）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农药经营许可</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农药经营许可</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农业农村</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144</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兽药经营许可</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兽药经营许可</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农业农村</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兽药经营许可证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农业植物检疫证书核发</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农业植物检疫证书核发</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农业农村</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产地检疫合格证（农业植物检疫合格证）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146</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动物诊疗许可</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动物诊疗许可</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农业农村</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动物诊疗许可证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147</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农产品质量安全检测机构考核</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农产品质量安全检测机构考核</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农业农村</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农产品质量安全检测机构考核合格证（书）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148</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农业植物产地检疫合格证签发</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农业植物产地检疫合格证签发</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农业农村</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产地检疫合格证（农业植物产地检疫合格证）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7"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149</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对外劳务合作经营资格核准</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从事其他对外劳务合作经营资格核准</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商务</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同意取得对外劳务合作经营资格的批复；对外劳务合作经营资格证书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150</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导游证核发</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导游证核发</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文化旅游</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电子导游证（导游资格证）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exac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151</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设置社会艺术水平考级机构审批</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设置社会艺术水平考级机构审批</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文化旅游</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社会艺术水平考级资格证书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9" w:hRule="exac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152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旅行社设立许可</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旅行社设立许可</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文化旅游</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设立旅行社有限公司的批复；旅行社业务经营许可证（旅行社经营许可证）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1" w:hRule="exac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153</w:t>
            </w: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职业卫生、放射卫生技术服务机构资质认可</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职业卫生技术服务机构资质认可</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卫生健康</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职业卫生技术服务机构资质证书（职业卫生、放射卫生技术服务机构资质证书）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4" w:hRule="exac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154</w:t>
            </w: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放射卫生技术服务机构资质认可</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职业卫生、放射卫生技术服务机构资质证书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exac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155</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医师资格认定</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医师资格认定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卫生健康</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医师资格证书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156</w:t>
            </w:r>
          </w:p>
        </w:tc>
        <w:tc>
          <w:tcPr>
            <w:tcW w:w="1662"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安全评价检测检验机构资质认定</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安全评价机构资质认可（海洋石油天然气除外）</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应急</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安全评价机构资质证书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1"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157</w:t>
            </w:r>
          </w:p>
        </w:tc>
        <w:tc>
          <w:tcPr>
            <w:tcW w:w="1662"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安全生产检测检验机构资质认可（海洋石油天然气除外）</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安全生产检测检验机构资质证书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158</w:t>
            </w:r>
          </w:p>
        </w:tc>
        <w:tc>
          <w:tcPr>
            <w:tcW w:w="1662"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特种作业人员职业资格认定</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特种作业人员职业资格认定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应急</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特种作业操作证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0"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spacing w:line="26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159</w:t>
            </w:r>
          </w:p>
        </w:tc>
        <w:tc>
          <w:tcPr>
            <w:tcW w:w="166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特种设备检验、检测人员资格认定</w:t>
            </w: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特种设备检验人员资格认定〔检验员（锅炉能效测试、锅炉水（介）质、大型游乐设施和客运索道检验员除外）〕</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市场监管</w:t>
            </w:r>
          </w:p>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特种设备检验检测人员证（无损检测人员）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1" w:hRule="atLeast"/>
          <w:jc w:val="center"/>
        </w:trPr>
        <w:tc>
          <w:tcPr>
            <w:tcW w:w="74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160</w:t>
            </w:r>
          </w:p>
        </w:tc>
        <w:tc>
          <w:tcPr>
            <w:tcW w:w="166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特种设备无损检测人员资格认定〔II级（限RT、UT、MT、PT），I级〕</w:t>
            </w:r>
          </w:p>
        </w:tc>
        <w:tc>
          <w:tcPr>
            <w:tcW w:w="1196"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特种设备检验检测人员证（无损检测人员）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3"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161</w:t>
            </w:r>
          </w:p>
        </w:tc>
        <w:tc>
          <w:tcPr>
            <w:tcW w:w="166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特种设备安全管理和作业人员资格认定</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特种设备安全管理和作业人员资格认定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市场监管</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特种设备作业人员证（特种设备检验检测人员证）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162</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检验检测机构资质认定</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地方编办批准、地方市场监管部门登记注册的检验检测机构资质认定</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市场监管</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检验检测机构资质认定证书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163</w:t>
            </w: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注册计量师注册</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注册计量师注册</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市场监管</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注册计量师注册证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164</w:t>
            </w: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特种设备生产单位许可</w:t>
            </w: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特种设备安装、改造、修理单位许可</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市场监管</w:t>
            </w: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特种设备生产许可证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165</w:t>
            </w: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rPr>
                <w:rFonts w:hint="eastAsia" w:ascii="仿宋_GB2312" w:hAnsi="宋体" w:eastAsia="仿宋_GB2312" w:cs="仿宋_GB2312"/>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特种设备设计单位许可（压力容器规则设计，长输管道、公用管道、工业管道）</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行政许可</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eastAsia"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特种设备生产许可证</w:t>
            </w:r>
          </w:p>
        </w:tc>
      </w:tr>
    </w:tbl>
    <w:p>
      <w:pPr>
        <w:pStyle w:val="5"/>
        <w:spacing w:before="156" w:beforeLines="50" w:line="300" w:lineRule="exact"/>
        <w:rPr>
          <w:rFonts w:hint="eastAsia"/>
        </w:rPr>
      </w:pPr>
      <w:r>
        <w:rPr>
          <w:rFonts w:hint="eastAsia" w:ascii="仿宋_GB2312" w:hAnsi="仿宋_GB2312" w:eastAsia="仿宋_GB2312" w:cs="仿宋_GB2312"/>
          <w:color w:val="000000"/>
          <w:sz w:val="24"/>
          <w:szCs w:val="24"/>
          <w:lang w:val="en" w:bidi="ar"/>
        </w:rPr>
        <w:t xml:space="preserve">  </w:t>
      </w:r>
      <w:r>
        <w:rPr>
          <w:rFonts w:hint="eastAsia" w:ascii="仿宋_GB2312" w:hAnsi="仿宋_GB2312" w:eastAsia="仿宋_GB2312" w:cs="仿宋_GB2312"/>
          <w:color w:val="000000"/>
          <w:sz w:val="24"/>
          <w:szCs w:val="24"/>
          <w:lang w:bidi="ar"/>
        </w:rPr>
        <w:t>注：序号94“建设工程质量检测机构资质审批”事项，待住房城乡建设部《建设工程质量检测机构管理办法实施意见》印发后，由住房城乡建设部门提出互认实施细则并实施。</w:t>
      </w:r>
      <w:bookmarkStart w:id="0" w:name="_GoBack"/>
      <w:bookmarkEnd w:id="0"/>
    </w:p>
    <w:sectPr>
      <w:footerReference r:id="rId3" w:type="default"/>
      <w:footerReference r:id="rId4" w:type="even"/>
      <w:pgSz w:w="11906" w:h="16838"/>
      <w:pgMar w:top="2098" w:right="1474" w:bottom="1985" w:left="1588" w:header="0" w:footer="1559"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altName w:val="Arial Unicode MS"/>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180" w:firstLineChars="10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jM1YmRjZWFlZmI1NTQzZjU3NmU5YzQ0MjM4ZDAifQ=="/>
    <w:docVar w:name="DocColor" w:val="#FFFFFF"/>
  </w:docVars>
  <w:rsids>
    <w:rsidRoot w:val="00AF3A62"/>
    <w:rsid w:val="000013FA"/>
    <w:rsid w:val="00006690"/>
    <w:rsid w:val="00014886"/>
    <w:rsid w:val="00020447"/>
    <w:rsid w:val="00036657"/>
    <w:rsid w:val="0004191E"/>
    <w:rsid w:val="00042EC0"/>
    <w:rsid w:val="00044372"/>
    <w:rsid w:val="00052ED7"/>
    <w:rsid w:val="00053CC6"/>
    <w:rsid w:val="000547C2"/>
    <w:rsid w:val="0006068E"/>
    <w:rsid w:val="00063D23"/>
    <w:rsid w:val="00063D2D"/>
    <w:rsid w:val="00077D15"/>
    <w:rsid w:val="0008012A"/>
    <w:rsid w:val="00085A57"/>
    <w:rsid w:val="00091199"/>
    <w:rsid w:val="00091D80"/>
    <w:rsid w:val="00094900"/>
    <w:rsid w:val="00095284"/>
    <w:rsid w:val="000A1CA3"/>
    <w:rsid w:val="000A6DEF"/>
    <w:rsid w:val="000B2D13"/>
    <w:rsid w:val="000B3D57"/>
    <w:rsid w:val="000C5713"/>
    <w:rsid w:val="000D4B6A"/>
    <w:rsid w:val="000D4D3A"/>
    <w:rsid w:val="000D6100"/>
    <w:rsid w:val="000F1921"/>
    <w:rsid w:val="000F76D0"/>
    <w:rsid w:val="00100AEE"/>
    <w:rsid w:val="00101740"/>
    <w:rsid w:val="00102A71"/>
    <w:rsid w:val="0011300F"/>
    <w:rsid w:val="00115092"/>
    <w:rsid w:val="00130B62"/>
    <w:rsid w:val="00144F81"/>
    <w:rsid w:val="001552E8"/>
    <w:rsid w:val="00155E13"/>
    <w:rsid w:val="00161E0A"/>
    <w:rsid w:val="00164966"/>
    <w:rsid w:val="00173281"/>
    <w:rsid w:val="00177332"/>
    <w:rsid w:val="001829C8"/>
    <w:rsid w:val="001832F6"/>
    <w:rsid w:val="00193011"/>
    <w:rsid w:val="00194DB7"/>
    <w:rsid w:val="001965BA"/>
    <w:rsid w:val="00196C00"/>
    <w:rsid w:val="001A1621"/>
    <w:rsid w:val="001A200E"/>
    <w:rsid w:val="001A6B38"/>
    <w:rsid w:val="001B28E2"/>
    <w:rsid w:val="001B3B2A"/>
    <w:rsid w:val="001B4064"/>
    <w:rsid w:val="001C4308"/>
    <w:rsid w:val="001D039A"/>
    <w:rsid w:val="001D2E4D"/>
    <w:rsid w:val="001E52FC"/>
    <w:rsid w:val="001E77B5"/>
    <w:rsid w:val="001F3827"/>
    <w:rsid w:val="00205016"/>
    <w:rsid w:val="00205A13"/>
    <w:rsid w:val="00205C9D"/>
    <w:rsid w:val="00214140"/>
    <w:rsid w:val="00214531"/>
    <w:rsid w:val="00225851"/>
    <w:rsid w:val="00232AE4"/>
    <w:rsid w:val="00244094"/>
    <w:rsid w:val="00253D33"/>
    <w:rsid w:val="002544E5"/>
    <w:rsid w:val="00262D7F"/>
    <w:rsid w:val="00265C9B"/>
    <w:rsid w:val="00273F99"/>
    <w:rsid w:val="00276589"/>
    <w:rsid w:val="0028073A"/>
    <w:rsid w:val="00281E44"/>
    <w:rsid w:val="00291F14"/>
    <w:rsid w:val="002976F1"/>
    <w:rsid w:val="00297D92"/>
    <w:rsid w:val="002A663D"/>
    <w:rsid w:val="002D5626"/>
    <w:rsid w:val="002E0197"/>
    <w:rsid w:val="002F3980"/>
    <w:rsid w:val="002F6F18"/>
    <w:rsid w:val="003029DA"/>
    <w:rsid w:val="00303809"/>
    <w:rsid w:val="0031047F"/>
    <w:rsid w:val="00320971"/>
    <w:rsid w:val="0032575E"/>
    <w:rsid w:val="00333713"/>
    <w:rsid w:val="00334D18"/>
    <w:rsid w:val="00336F3A"/>
    <w:rsid w:val="003466F7"/>
    <w:rsid w:val="003516D2"/>
    <w:rsid w:val="0035349E"/>
    <w:rsid w:val="003568BF"/>
    <w:rsid w:val="00370DE5"/>
    <w:rsid w:val="00375558"/>
    <w:rsid w:val="00381718"/>
    <w:rsid w:val="003846DD"/>
    <w:rsid w:val="0039558B"/>
    <w:rsid w:val="003A0412"/>
    <w:rsid w:val="003A4636"/>
    <w:rsid w:val="003A6101"/>
    <w:rsid w:val="003B7C83"/>
    <w:rsid w:val="003C76B7"/>
    <w:rsid w:val="003D2D7C"/>
    <w:rsid w:val="003D6DF1"/>
    <w:rsid w:val="003D73D6"/>
    <w:rsid w:val="003F24EF"/>
    <w:rsid w:val="00401D8F"/>
    <w:rsid w:val="0040246E"/>
    <w:rsid w:val="00407832"/>
    <w:rsid w:val="00416175"/>
    <w:rsid w:val="00424BF8"/>
    <w:rsid w:val="00434F16"/>
    <w:rsid w:val="00443081"/>
    <w:rsid w:val="00447545"/>
    <w:rsid w:val="004514D3"/>
    <w:rsid w:val="00470A34"/>
    <w:rsid w:val="00475572"/>
    <w:rsid w:val="004802D7"/>
    <w:rsid w:val="00485AF7"/>
    <w:rsid w:val="0048683E"/>
    <w:rsid w:val="00486D69"/>
    <w:rsid w:val="004872CB"/>
    <w:rsid w:val="004939FA"/>
    <w:rsid w:val="004B15E8"/>
    <w:rsid w:val="004B3E90"/>
    <w:rsid w:val="004C5BD9"/>
    <w:rsid w:val="004C6845"/>
    <w:rsid w:val="004D1E56"/>
    <w:rsid w:val="004D210E"/>
    <w:rsid w:val="004D30B9"/>
    <w:rsid w:val="004E0279"/>
    <w:rsid w:val="004E2603"/>
    <w:rsid w:val="00502270"/>
    <w:rsid w:val="0050267F"/>
    <w:rsid w:val="00503EFD"/>
    <w:rsid w:val="0051424D"/>
    <w:rsid w:val="005152F4"/>
    <w:rsid w:val="005177A6"/>
    <w:rsid w:val="005252BE"/>
    <w:rsid w:val="00534131"/>
    <w:rsid w:val="00546B2A"/>
    <w:rsid w:val="00554D21"/>
    <w:rsid w:val="005567DE"/>
    <w:rsid w:val="0057044F"/>
    <w:rsid w:val="00570C91"/>
    <w:rsid w:val="00571B59"/>
    <w:rsid w:val="00594B39"/>
    <w:rsid w:val="00594FA7"/>
    <w:rsid w:val="00596997"/>
    <w:rsid w:val="005C351E"/>
    <w:rsid w:val="005C40EE"/>
    <w:rsid w:val="005C4D18"/>
    <w:rsid w:val="005C6649"/>
    <w:rsid w:val="005D13A6"/>
    <w:rsid w:val="005E2892"/>
    <w:rsid w:val="005F43B6"/>
    <w:rsid w:val="005F5895"/>
    <w:rsid w:val="005F5DA0"/>
    <w:rsid w:val="005F5FF7"/>
    <w:rsid w:val="005F629F"/>
    <w:rsid w:val="005F6457"/>
    <w:rsid w:val="00600C93"/>
    <w:rsid w:val="00613044"/>
    <w:rsid w:val="00615401"/>
    <w:rsid w:val="00616957"/>
    <w:rsid w:val="00620819"/>
    <w:rsid w:val="00620D75"/>
    <w:rsid w:val="00621E84"/>
    <w:rsid w:val="0062381E"/>
    <w:rsid w:val="00623CD3"/>
    <w:rsid w:val="0065071D"/>
    <w:rsid w:val="00653956"/>
    <w:rsid w:val="00653D8C"/>
    <w:rsid w:val="00655CFB"/>
    <w:rsid w:val="006709E5"/>
    <w:rsid w:val="006903C7"/>
    <w:rsid w:val="00691AEC"/>
    <w:rsid w:val="006944B9"/>
    <w:rsid w:val="00695163"/>
    <w:rsid w:val="006A03B8"/>
    <w:rsid w:val="006A711C"/>
    <w:rsid w:val="006C0CDC"/>
    <w:rsid w:val="006C4705"/>
    <w:rsid w:val="006C6F80"/>
    <w:rsid w:val="006D0C1E"/>
    <w:rsid w:val="006D46E6"/>
    <w:rsid w:val="006E129D"/>
    <w:rsid w:val="006E1C0B"/>
    <w:rsid w:val="006E2132"/>
    <w:rsid w:val="006F1F3B"/>
    <w:rsid w:val="006F2841"/>
    <w:rsid w:val="006F7D4A"/>
    <w:rsid w:val="00703EF1"/>
    <w:rsid w:val="00710217"/>
    <w:rsid w:val="00711746"/>
    <w:rsid w:val="0071391D"/>
    <w:rsid w:val="00715C86"/>
    <w:rsid w:val="00733B44"/>
    <w:rsid w:val="00734A0E"/>
    <w:rsid w:val="00740F13"/>
    <w:rsid w:val="0075238D"/>
    <w:rsid w:val="007532D3"/>
    <w:rsid w:val="007536F3"/>
    <w:rsid w:val="00753EFB"/>
    <w:rsid w:val="007621AD"/>
    <w:rsid w:val="00763B81"/>
    <w:rsid w:val="00763EA2"/>
    <w:rsid w:val="007647A4"/>
    <w:rsid w:val="0077349E"/>
    <w:rsid w:val="00785E39"/>
    <w:rsid w:val="00787B25"/>
    <w:rsid w:val="007946C6"/>
    <w:rsid w:val="007C3974"/>
    <w:rsid w:val="007C67B4"/>
    <w:rsid w:val="007E2238"/>
    <w:rsid w:val="007F6686"/>
    <w:rsid w:val="00804986"/>
    <w:rsid w:val="008064A7"/>
    <w:rsid w:val="0081698D"/>
    <w:rsid w:val="00817A01"/>
    <w:rsid w:val="008202D2"/>
    <w:rsid w:val="00841079"/>
    <w:rsid w:val="008410A0"/>
    <w:rsid w:val="0085482A"/>
    <w:rsid w:val="008554B3"/>
    <w:rsid w:val="00855942"/>
    <w:rsid w:val="008638E2"/>
    <w:rsid w:val="00863D17"/>
    <w:rsid w:val="00865D59"/>
    <w:rsid w:val="00870641"/>
    <w:rsid w:val="00874C67"/>
    <w:rsid w:val="00880418"/>
    <w:rsid w:val="008834D6"/>
    <w:rsid w:val="00884181"/>
    <w:rsid w:val="008845D9"/>
    <w:rsid w:val="0088574D"/>
    <w:rsid w:val="008916A3"/>
    <w:rsid w:val="008A1C07"/>
    <w:rsid w:val="008A2DF9"/>
    <w:rsid w:val="008A4368"/>
    <w:rsid w:val="008A50C2"/>
    <w:rsid w:val="008C3B47"/>
    <w:rsid w:val="008C6B6B"/>
    <w:rsid w:val="008D338D"/>
    <w:rsid w:val="008D526F"/>
    <w:rsid w:val="008E392D"/>
    <w:rsid w:val="008F1AAC"/>
    <w:rsid w:val="008F20C9"/>
    <w:rsid w:val="008F44E0"/>
    <w:rsid w:val="008F6901"/>
    <w:rsid w:val="008F7D0A"/>
    <w:rsid w:val="0090696C"/>
    <w:rsid w:val="009101C2"/>
    <w:rsid w:val="00913FB4"/>
    <w:rsid w:val="00914D8B"/>
    <w:rsid w:val="00917B8D"/>
    <w:rsid w:val="00926CDD"/>
    <w:rsid w:val="00960BCE"/>
    <w:rsid w:val="00961FF0"/>
    <w:rsid w:val="00977A00"/>
    <w:rsid w:val="0098097D"/>
    <w:rsid w:val="00983FB1"/>
    <w:rsid w:val="00986787"/>
    <w:rsid w:val="009918FD"/>
    <w:rsid w:val="009B0EE5"/>
    <w:rsid w:val="009B24FA"/>
    <w:rsid w:val="009B7453"/>
    <w:rsid w:val="009C7CAC"/>
    <w:rsid w:val="009D0218"/>
    <w:rsid w:val="009D5129"/>
    <w:rsid w:val="009D72CD"/>
    <w:rsid w:val="009E54A1"/>
    <w:rsid w:val="00A1445C"/>
    <w:rsid w:val="00A15729"/>
    <w:rsid w:val="00A41BC0"/>
    <w:rsid w:val="00A438B2"/>
    <w:rsid w:val="00A4509C"/>
    <w:rsid w:val="00A54C97"/>
    <w:rsid w:val="00A556F1"/>
    <w:rsid w:val="00A6008E"/>
    <w:rsid w:val="00A7084A"/>
    <w:rsid w:val="00A86426"/>
    <w:rsid w:val="00A9464C"/>
    <w:rsid w:val="00AC556F"/>
    <w:rsid w:val="00AD06BE"/>
    <w:rsid w:val="00AE237F"/>
    <w:rsid w:val="00AE41D9"/>
    <w:rsid w:val="00AF2941"/>
    <w:rsid w:val="00AF3A62"/>
    <w:rsid w:val="00B012F8"/>
    <w:rsid w:val="00B1591B"/>
    <w:rsid w:val="00B23D36"/>
    <w:rsid w:val="00B25B7F"/>
    <w:rsid w:val="00B302BE"/>
    <w:rsid w:val="00B4268A"/>
    <w:rsid w:val="00B428F6"/>
    <w:rsid w:val="00B45119"/>
    <w:rsid w:val="00B52CAF"/>
    <w:rsid w:val="00B62266"/>
    <w:rsid w:val="00B6319C"/>
    <w:rsid w:val="00B71D20"/>
    <w:rsid w:val="00B77C7D"/>
    <w:rsid w:val="00B82026"/>
    <w:rsid w:val="00B94329"/>
    <w:rsid w:val="00BA0CDD"/>
    <w:rsid w:val="00BB01A4"/>
    <w:rsid w:val="00BB4212"/>
    <w:rsid w:val="00BB4503"/>
    <w:rsid w:val="00BC0C1D"/>
    <w:rsid w:val="00BC1ECD"/>
    <w:rsid w:val="00BC2AC6"/>
    <w:rsid w:val="00BD2107"/>
    <w:rsid w:val="00BD3E2D"/>
    <w:rsid w:val="00BF2499"/>
    <w:rsid w:val="00C03940"/>
    <w:rsid w:val="00C14C47"/>
    <w:rsid w:val="00C316BE"/>
    <w:rsid w:val="00C35E07"/>
    <w:rsid w:val="00C43AA4"/>
    <w:rsid w:val="00C471F4"/>
    <w:rsid w:val="00C47F96"/>
    <w:rsid w:val="00C5135F"/>
    <w:rsid w:val="00C52BDA"/>
    <w:rsid w:val="00C5379F"/>
    <w:rsid w:val="00C55359"/>
    <w:rsid w:val="00C55A54"/>
    <w:rsid w:val="00C61BDA"/>
    <w:rsid w:val="00C61DED"/>
    <w:rsid w:val="00C64F26"/>
    <w:rsid w:val="00C67CC2"/>
    <w:rsid w:val="00C712F5"/>
    <w:rsid w:val="00C72C88"/>
    <w:rsid w:val="00C80F6D"/>
    <w:rsid w:val="00C82702"/>
    <w:rsid w:val="00C8688D"/>
    <w:rsid w:val="00C9291F"/>
    <w:rsid w:val="00C937A2"/>
    <w:rsid w:val="00C93CBF"/>
    <w:rsid w:val="00CA26CE"/>
    <w:rsid w:val="00CA6949"/>
    <w:rsid w:val="00CC7913"/>
    <w:rsid w:val="00CD167F"/>
    <w:rsid w:val="00CD3321"/>
    <w:rsid w:val="00CD5643"/>
    <w:rsid w:val="00CE3F6E"/>
    <w:rsid w:val="00CE7457"/>
    <w:rsid w:val="00CE7952"/>
    <w:rsid w:val="00CF41AD"/>
    <w:rsid w:val="00CF79E1"/>
    <w:rsid w:val="00D0785A"/>
    <w:rsid w:val="00D12963"/>
    <w:rsid w:val="00D16052"/>
    <w:rsid w:val="00D211E4"/>
    <w:rsid w:val="00D21B68"/>
    <w:rsid w:val="00D25B50"/>
    <w:rsid w:val="00D32093"/>
    <w:rsid w:val="00D34957"/>
    <w:rsid w:val="00D369B3"/>
    <w:rsid w:val="00D51881"/>
    <w:rsid w:val="00D64383"/>
    <w:rsid w:val="00D75642"/>
    <w:rsid w:val="00D8065C"/>
    <w:rsid w:val="00D8249F"/>
    <w:rsid w:val="00D83E12"/>
    <w:rsid w:val="00D8683A"/>
    <w:rsid w:val="00D9128F"/>
    <w:rsid w:val="00D929F9"/>
    <w:rsid w:val="00DA38A2"/>
    <w:rsid w:val="00DB1959"/>
    <w:rsid w:val="00DB5208"/>
    <w:rsid w:val="00DB64F1"/>
    <w:rsid w:val="00DC3EE5"/>
    <w:rsid w:val="00DC53CA"/>
    <w:rsid w:val="00DC5C06"/>
    <w:rsid w:val="00DC600A"/>
    <w:rsid w:val="00DC7192"/>
    <w:rsid w:val="00DD26E5"/>
    <w:rsid w:val="00DD6434"/>
    <w:rsid w:val="00DD6A26"/>
    <w:rsid w:val="00DD751D"/>
    <w:rsid w:val="00DE0A3D"/>
    <w:rsid w:val="00DE1016"/>
    <w:rsid w:val="00DF3734"/>
    <w:rsid w:val="00E02916"/>
    <w:rsid w:val="00E3079E"/>
    <w:rsid w:val="00E34FEE"/>
    <w:rsid w:val="00E36A93"/>
    <w:rsid w:val="00E43A3E"/>
    <w:rsid w:val="00E45FAD"/>
    <w:rsid w:val="00E5693A"/>
    <w:rsid w:val="00E61567"/>
    <w:rsid w:val="00E7615B"/>
    <w:rsid w:val="00E77404"/>
    <w:rsid w:val="00E91D55"/>
    <w:rsid w:val="00E92763"/>
    <w:rsid w:val="00E934E3"/>
    <w:rsid w:val="00EA54EA"/>
    <w:rsid w:val="00EB0B98"/>
    <w:rsid w:val="00EB6531"/>
    <w:rsid w:val="00EB69CD"/>
    <w:rsid w:val="00EE42D8"/>
    <w:rsid w:val="00EE4514"/>
    <w:rsid w:val="00EE5CA5"/>
    <w:rsid w:val="00EF4DE5"/>
    <w:rsid w:val="00EF5E7B"/>
    <w:rsid w:val="00EF63F3"/>
    <w:rsid w:val="00F0264F"/>
    <w:rsid w:val="00F0662C"/>
    <w:rsid w:val="00F14AC8"/>
    <w:rsid w:val="00F250EE"/>
    <w:rsid w:val="00F272DC"/>
    <w:rsid w:val="00F36B36"/>
    <w:rsid w:val="00F452F4"/>
    <w:rsid w:val="00F46875"/>
    <w:rsid w:val="00F5081A"/>
    <w:rsid w:val="00F5188E"/>
    <w:rsid w:val="00F54817"/>
    <w:rsid w:val="00F627E0"/>
    <w:rsid w:val="00F62C6D"/>
    <w:rsid w:val="00F72768"/>
    <w:rsid w:val="00F740AE"/>
    <w:rsid w:val="00F74185"/>
    <w:rsid w:val="00F80581"/>
    <w:rsid w:val="00F835A1"/>
    <w:rsid w:val="00F90EAD"/>
    <w:rsid w:val="00F91140"/>
    <w:rsid w:val="00F94624"/>
    <w:rsid w:val="00F95CF3"/>
    <w:rsid w:val="00F97B87"/>
    <w:rsid w:val="00FB3F28"/>
    <w:rsid w:val="00FB6F20"/>
    <w:rsid w:val="00FC443F"/>
    <w:rsid w:val="00FC4523"/>
    <w:rsid w:val="00FD602C"/>
    <w:rsid w:val="0FEFFECD"/>
    <w:rsid w:val="0FF7846B"/>
    <w:rsid w:val="0FFDA650"/>
    <w:rsid w:val="10817822"/>
    <w:rsid w:val="15F55C92"/>
    <w:rsid w:val="26D900F7"/>
    <w:rsid w:val="2FF9F31B"/>
    <w:rsid w:val="3C17EEA2"/>
    <w:rsid w:val="3D5DEFC6"/>
    <w:rsid w:val="3DBFB5A5"/>
    <w:rsid w:val="3FDFE1DD"/>
    <w:rsid w:val="4FDF661E"/>
    <w:rsid w:val="4FE3967F"/>
    <w:rsid w:val="53FF92B0"/>
    <w:rsid w:val="577C033A"/>
    <w:rsid w:val="57DE8B93"/>
    <w:rsid w:val="5F7C1FC7"/>
    <w:rsid w:val="5F7D654C"/>
    <w:rsid w:val="66372751"/>
    <w:rsid w:val="6BFF4272"/>
    <w:rsid w:val="6C7BAB58"/>
    <w:rsid w:val="6FC7A38D"/>
    <w:rsid w:val="72BBA0DA"/>
    <w:rsid w:val="756ECDA7"/>
    <w:rsid w:val="77EBAF46"/>
    <w:rsid w:val="77EE4CEF"/>
    <w:rsid w:val="77F4B1E0"/>
    <w:rsid w:val="77FDB50B"/>
    <w:rsid w:val="79BCD49B"/>
    <w:rsid w:val="7AF4B22F"/>
    <w:rsid w:val="7B6BFF7C"/>
    <w:rsid w:val="7BF02E30"/>
    <w:rsid w:val="7CB6D878"/>
    <w:rsid w:val="7DF34ABA"/>
    <w:rsid w:val="7DFFA2AA"/>
    <w:rsid w:val="7E18D16B"/>
    <w:rsid w:val="7E6F9837"/>
    <w:rsid w:val="7EE73DAE"/>
    <w:rsid w:val="7EFF41A5"/>
    <w:rsid w:val="7F0FB597"/>
    <w:rsid w:val="7FBACEDF"/>
    <w:rsid w:val="7FDFEABD"/>
    <w:rsid w:val="7FF750E0"/>
    <w:rsid w:val="7FFFAEDB"/>
    <w:rsid w:val="8B7E486B"/>
    <w:rsid w:val="8F4FC370"/>
    <w:rsid w:val="9FBF7485"/>
    <w:rsid w:val="AEFF222A"/>
    <w:rsid w:val="AFF92E73"/>
    <w:rsid w:val="B3F198A4"/>
    <w:rsid w:val="B8FE3F62"/>
    <w:rsid w:val="BB65E2E2"/>
    <w:rsid w:val="BBEDC873"/>
    <w:rsid w:val="BEFFED34"/>
    <w:rsid w:val="CFAFA648"/>
    <w:rsid w:val="DEE7678B"/>
    <w:rsid w:val="DF6FB1CE"/>
    <w:rsid w:val="DF99E987"/>
    <w:rsid w:val="DFBF83A9"/>
    <w:rsid w:val="E67C9735"/>
    <w:rsid w:val="EADCF786"/>
    <w:rsid w:val="EF2B0E6F"/>
    <w:rsid w:val="EFE75FCD"/>
    <w:rsid w:val="F0B20CB5"/>
    <w:rsid w:val="F37D99C2"/>
    <w:rsid w:val="F37F5F0A"/>
    <w:rsid w:val="F4F994E3"/>
    <w:rsid w:val="F55F07E0"/>
    <w:rsid w:val="F5A78536"/>
    <w:rsid w:val="F5EF89FF"/>
    <w:rsid w:val="F67F831D"/>
    <w:rsid w:val="F6E6821C"/>
    <w:rsid w:val="F6FE25F0"/>
    <w:rsid w:val="F7F155AE"/>
    <w:rsid w:val="F7F9580B"/>
    <w:rsid w:val="F9671812"/>
    <w:rsid w:val="F9FF3A6A"/>
    <w:rsid w:val="FBFD3627"/>
    <w:rsid w:val="FBFFB93B"/>
    <w:rsid w:val="FCD7AE7C"/>
    <w:rsid w:val="FDFA3957"/>
    <w:rsid w:val="FDFF1910"/>
    <w:rsid w:val="FE7D1FC5"/>
    <w:rsid w:val="FEC78492"/>
    <w:rsid w:val="FED366E6"/>
    <w:rsid w:val="FF7F8025"/>
    <w:rsid w:val="FFFBB6B0"/>
    <w:rsid w:val="FFFF41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5" w:lineRule="auto"/>
      <w:outlineLvl w:val="1"/>
    </w:pPr>
    <w:rPr>
      <w:rFonts w:ascii="Cambria" w:hAnsi="Cambria" w:cs="宋体"/>
      <w:b/>
      <w:bCs/>
      <w:sz w:val="32"/>
      <w:szCs w:val="32"/>
    </w:rPr>
  </w:style>
  <w:style w:type="character" w:default="1" w:styleId="14">
    <w:name w:val="Default Paragraph Font"/>
    <w:unhideWhenUsed/>
    <w:uiPriority w:val="1"/>
  </w:style>
  <w:style w:type="table" w:default="1" w:styleId="12">
    <w:name w:val="Normal Table"/>
    <w:unhideWhenUsed/>
    <w:uiPriority w:val="99"/>
    <w:tblPr>
      <w:tblStyle w:val="12"/>
      <w:tblCellMar>
        <w:top w:w="0" w:type="dxa"/>
        <w:left w:w="108" w:type="dxa"/>
        <w:bottom w:w="0" w:type="dxa"/>
        <w:right w:w="108" w:type="dxa"/>
      </w:tblCellMar>
    </w:tblPr>
  </w:style>
  <w:style w:type="paragraph" w:styleId="4">
    <w:name w:val="Body Text"/>
    <w:basedOn w:val="1"/>
    <w:next w:val="5"/>
    <w:qFormat/>
    <w:uiPriority w:val="0"/>
    <w:pPr>
      <w:spacing w:before="0" w:after="140" w:line="276" w:lineRule="auto"/>
    </w:pPr>
  </w:style>
  <w:style w:type="paragraph" w:customStyle="1" w:styleId="5">
    <w:name w:val="toc 1_b958cacf-7e5f-454f-8c5b-6e15b77831f9"/>
    <w:next w:val="1"/>
    <w:qFormat/>
    <w:uiPriority w:val="0"/>
    <w:pPr>
      <w:wordWrap w:val="0"/>
      <w:jc w:val="both"/>
    </w:pPr>
    <w:rPr>
      <w:rFonts w:ascii="Times New Roman" w:hAnsi="Times New Roman"/>
      <w:sz w:val="21"/>
      <w:szCs w:val="22"/>
      <w:lang w:val="en-US" w:eastAsia="zh-CN" w:bidi="ar-SA"/>
    </w:rPr>
  </w:style>
  <w:style w:type="paragraph" w:styleId="6">
    <w:name w:val="Plain Text"/>
    <w:basedOn w:val="1"/>
    <w:link w:val="18"/>
    <w:qFormat/>
    <w:uiPriority w:val="0"/>
    <w:rPr>
      <w:rFonts w:ascii="宋体" w:hAnsi="Courier New" w:cs="Courier New"/>
      <w:szCs w:val="21"/>
    </w:rPr>
  </w:style>
  <w:style w:type="paragraph" w:styleId="7">
    <w:name w:val="Date"/>
    <w:basedOn w:val="1"/>
    <w:next w:val="1"/>
    <w:link w:val="19"/>
    <w:unhideWhenUsed/>
    <w:uiPriority w:val="99"/>
    <w:pPr>
      <w:ind w:left="100" w:leftChars="2500"/>
    </w:pPr>
  </w:style>
  <w:style w:type="paragraph" w:styleId="8">
    <w:name w:val="Balloon Text"/>
    <w:basedOn w:val="1"/>
    <w:link w:val="20"/>
    <w:unhideWhenUsed/>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13">
    <w:name w:val="Table Grid"/>
    <w:basedOn w:val="12"/>
    <w:uiPriority w:val="59"/>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uiPriority w:val="0"/>
  </w:style>
  <w:style w:type="character" w:customStyle="1" w:styleId="16">
    <w:name w:val="标题 1 字符"/>
    <w:link w:val="2"/>
    <w:uiPriority w:val="9"/>
    <w:rPr>
      <w:b/>
      <w:bCs/>
      <w:kern w:val="44"/>
      <w:sz w:val="44"/>
      <w:szCs w:val="44"/>
    </w:rPr>
  </w:style>
  <w:style w:type="character" w:customStyle="1" w:styleId="17">
    <w:name w:val="标题 2 字符"/>
    <w:link w:val="3"/>
    <w:semiHidden/>
    <w:locked/>
    <w:uiPriority w:val="0"/>
    <w:rPr>
      <w:rFonts w:ascii="Cambria" w:hAnsi="Cambria" w:eastAsia="宋体" w:cs="宋体"/>
      <w:b/>
      <w:bCs/>
      <w:kern w:val="2"/>
      <w:sz w:val="32"/>
      <w:szCs w:val="32"/>
      <w:lang w:val="en-US" w:eastAsia="zh-CN" w:bidi="ar-SA"/>
    </w:rPr>
  </w:style>
  <w:style w:type="character" w:customStyle="1" w:styleId="18">
    <w:name w:val="纯文本 字符"/>
    <w:link w:val="6"/>
    <w:locked/>
    <w:uiPriority w:val="0"/>
    <w:rPr>
      <w:rFonts w:ascii="宋体" w:hAnsi="Courier New" w:eastAsia="宋体" w:cs="Courier New"/>
      <w:kern w:val="2"/>
      <w:sz w:val="21"/>
      <w:szCs w:val="21"/>
      <w:lang w:val="en-US" w:eastAsia="zh-CN" w:bidi="ar-SA"/>
    </w:rPr>
  </w:style>
  <w:style w:type="character" w:customStyle="1" w:styleId="19">
    <w:name w:val="日期 字符"/>
    <w:link w:val="7"/>
    <w:semiHidden/>
    <w:uiPriority w:val="99"/>
    <w:rPr>
      <w:kern w:val="2"/>
      <w:sz w:val="21"/>
      <w:szCs w:val="22"/>
    </w:rPr>
  </w:style>
  <w:style w:type="character" w:customStyle="1" w:styleId="20">
    <w:name w:val="批注框文本 字符"/>
    <w:link w:val="8"/>
    <w:semiHidden/>
    <w:uiPriority w:val="99"/>
    <w:rPr>
      <w:kern w:val="2"/>
      <w:sz w:val="18"/>
      <w:szCs w:val="18"/>
    </w:rPr>
  </w:style>
  <w:style w:type="character" w:customStyle="1" w:styleId="21">
    <w:name w:val="页脚 字符"/>
    <w:link w:val="9"/>
    <w:uiPriority w:val="99"/>
    <w:rPr>
      <w:kern w:val="2"/>
      <w:sz w:val="18"/>
      <w:szCs w:val="18"/>
    </w:rPr>
  </w:style>
  <w:style w:type="character" w:customStyle="1" w:styleId="22">
    <w:name w:val="页眉 字符"/>
    <w:link w:val="10"/>
    <w:uiPriority w:val="99"/>
    <w:rPr>
      <w:kern w:val="2"/>
      <w:sz w:val="18"/>
      <w:szCs w:val="18"/>
    </w:rPr>
  </w:style>
  <w:style w:type="character" w:customStyle="1" w:styleId="23">
    <w:name w:val="NormalCharacter"/>
    <w:link w:val="24"/>
    <w:qFormat/>
    <w:locked/>
    <w:uiPriority w:val="0"/>
    <w:rPr>
      <w:kern w:val="2"/>
      <w:sz w:val="24"/>
    </w:rPr>
  </w:style>
  <w:style w:type="paragraph" w:customStyle="1" w:styleId="24">
    <w:name w:val="UserStyle_9"/>
    <w:link w:val="23"/>
    <w:qFormat/>
    <w:uiPriority w:val="0"/>
    <w:pPr>
      <w:widowControl w:val="0"/>
      <w:jc w:val="both"/>
    </w:pPr>
    <w:rPr>
      <w:kern w:val="2"/>
      <w:sz w:val="24"/>
      <w:lang w:val="en-US" w:eastAsia="zh-CN" w:bidi="ar-SA"/>
    </w:rPr>
  </w:style>
  <w:style w:type="paragraph" w:styleId="25">
    <w:name w:val=""/>
    <w:hidden/>
    <w:unhideWhenUsed/>
    <w:uiPriority w:val="99"/>
    <w:rPr>
      <w:kern w:val="2"/>
      <w:sz w:val="21"/>
      <w:szCs w:val="2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1586</Words>
  <Characters>9043</Characters>
  <Lines>75</Lines>
  <Paragraphs>21</Paragraphs>
  <TotalTime>7</TotalTime>
  <ScaleCrop>false</ScaleCrop>
  <LinksUpToDate>false</LinksUpToDate>
  <CharactersWithSpaces>10608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2022-10-25T17:33:00Z</dcterms:created>
  <dc:creator>acer</dc:creator>
  <cp:lastModifiedBy>汪儿</cp:lastModifiedBy>
  <cp:lastPrinted>2023-08-18T06:17:00Z</cp:lastPrinted>
  <dcterms:modified xsi:type="dcterms:W3CDTF">2023-11-14T08:16:28Z</dcterms:modified>
  <dc:title>关于与中国联通北京市分公司签订无线数据专网</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4049C60ADED14CC1AE3DE96654FFF465_13</vt:lpwstr>
  </property>
</Properties>
</file>